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F8CFE" w14:textId="4828F904" w:rsidR="00FB3671" w:rsidRPr="00CA2C43" w:rsidRDefault="00FB3671" w:rsidP="00FB3671">
      <w:pPr>
        <w:jc w:val="both"/>
        <w:rPr>
          <w:bCs/>
          <w:sz w:val="24"/>
          <w:szCs w:val="24"/>
          <w:lang w:val="hr-H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</w:tblGrid>
      <w:tr w:rsidR="00FB3671" w:rsidRPr="00CA2C43" w14:paraId="266DBB02" w14:textId="77777777" w:rsidTr="00C1147E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71B0CB22" w14:textId="77777777" w:rsidR="00FB3671" w:rsidRPr="00CA2C43" w:rsidRDefault="00FB3671" w:rsidP="00C1147E">
            <w:pPr>
              <w:jc w:val="center"/>
              <w:rPr>
                <w:b/>
                <w:bCs/>
                <w:sz w:val="12"/>
                <w:szCs w:val="12"/>
                <w:lang w:val="hr-HR"/>
              </w:rPr>
            </w:pPr>
            <w:r w:rsidRPr="00CA2C43">
              <w:rPr>
                <w:b/>
                <w:noProof/>
                <w:sz w:val="32"/>
                <w:szCs w:val="32"/>
                <w:lang w:val="hr-HR"/>
              </w:rPr>
              <w:drawing>
                <wp:inline distT="0" distB="0" distL="0" distR="0" wp14:anchorId="1F4960B9" wp14:editId="5D1057D8">
                  <wp:extent cx="501650" cy="628650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3671" w:rsidRPr="00CA2C43" w14:paraId="1462C8C5" w14:textId="77777777" w:rsidTr="00C1147E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5AAC05AE" w14:textId="77777777" w:rsidR="00FB3671" w:rsidRPr="00CA2C43" w:rsidRDefault="00FB3671" w:rsidP="00C1147E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CA2C43">
              <w:rPr>
                <w:b/>
                <w:bCs/>
                <w:sz w:val="24"/>
                <w:szCs w:val="24"/>
                <w:lang w:val="hr-HR"/>
              </w:rPr>
              <w:t>REPUBLIKA HRVATSKA</w:t>
            </w:r>
          </w:p>
        </w:tc>
      </w:tr>
      <w:tr w:rsidR="00FB3671" w:rsidRPr="00CA2C43" w14:paraId="63B38472" w14:textId="77777777" w:rsidTr="00C1147E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2CBCD7E7" w14:textId="77777777" w:rsidR="00FB3671" w:rsidRPr="00CA2C43" w:rsidRDefault="00FB3671" w:rsidP="00C1147E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CA2C43">
              <w:rPr>
                <w:b/>
                <w:bCs/>
                <w:sz w:val="24"/>
                <w:szCs w:val="24"/>
                <w:lang w:val="hr-HR"/>
              </w:rPr>
              <w:t>ISTARSKA ŽUPANIJA</w:t>
            </w:r>
          </w:p>
        </w:tc>
      </w:tr>
      <w:tr w:rsidR="00FB3671" w:rsidRPr="00CA2C43" w14:paraId="2B4CD2D0" w14:textId="77777777" w:rsidTr="00C1147E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78ECE6D9" w14:textId="77777777" w:rsidR="00FB3671" w:rsidRPr="00CA2C43" w:rsidRDefault="00FB3671" w:rsidP="00C1147E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CA2C43">
              <w:rPr>
                <w:b/>
                <w:bCs/>
                <w:sz w:val="24"/>
                <w:szCs w:val="24"/>
                <w:lang w:val="hr-HR"/>
              </w:rPr>
              <w:t>GRAD POREČ-PARENZO</w:t>
            </w:r>
          </w:p>
          <w:p w14:paraId="33610014" w14:textId="77777777" w:rsidR="00FB3671" w:rsidRPr="00CA2C43" w:rsidRDefault="00FB3671" w:rsidP="00C1147E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CA2C43">
              <w:rPr>
                <w:b/>
                <w:bCs/>
                <w:sz w:val="24"/>
                <w:szCs w:val="24"/>
                <w:lang w:val="hr-HR"/>
              </w:rPr>
              <w:t>CITTÀ DI POREČ-PARENZO</w:t>
            </w:r>
          </w:p>
        </w:tc>
      </w:tr>
      <w:tr w:rsidR="00FB3671" w:rsidRPr="00CA2C43" w14:paraId="647E3341" w14:textId="77777777" w:rsidTr="00C1147E">
        <w:trPr>
          <w:cantSplit/>
          <w:trHeight w:val="29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3D403D58" w14:textId="77777777" w:rsidR="00FB3671" w:rsidRPr="00CA2C43" w:rsidRDefault="00FB3671" w:rsidP="00C1147E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CA2C43">
              <w:rPr>
                <w:b/>
                <w:bCs/>
                <w:sz w:val="24"/>
                <w:szCs w:val="24"/>
                <w:lang w:val="hr-HR"/>
              </w:rPr>
              <w:t xml:space="preserve">Gradonačelnik </w:t>
            </w:r>
          </w:p>
        </w:tc>
      </w:tr>
    </w:tbl>
    <w:p w14:paraId="5F083CA7" w14:textId="26BDEED9" w:rsidR="00C1033D" w:rsidRPr="00C1033D" w:rsidRDefault="00C1033D" w:rsidP="00C1033D">
      <w:pPr>
        <w:jc w:val="both"/>
        <w:rPr>
          <w:b/>
          <w:bCs/>
          <w:sz w:val="24"/>
          <w:szCs w:val="24"/>
          <w:lang w:val="hr-HR"/>
        </w:rPr>
      </w:pPr>
      <w:r w:rsidRPr="00C1033D">
        <w:rPr>
          <w:b/>
          <w:bCs/>
          <w:sz w:val="24"/>
          <w:szCs w:val="24"/>
          <w:lang w:val="hr-HR"/>
        </w:rPr>
        <w:t>KLASA: 024-01/24-01/329</w:t>
      </w:r>
    </w:p>
    <w:p w14:paraId="09C68F1C" w14:textId="4FF333AA" w:rsidR="00C1033D" w:rsidRPr="00C1033D" w:rsidRDefault="00C1033D" w:rsidP="00C1033D">
      <w:pPr>
        <w:jc w:val="both"/>
        <w:rPr>
          <w:b/>
          <w:bCs/>
          <w:sz w:val="24"/>
          <w:szCs w:val="24"/>
          <w:lang w:val="hr-HR"/>
        </w:rPr>
      </w:pPr>
      <w:r w:rsidRPr="00C1033D">
        <w:rPr>
          <w:b/>
          <w:bCs/>
          <w:sz w:val="24"/>
          <w:szCs w:val="24"/>
          <w:lang w:val="hr-HR"/>
        </w:rPr>
        <w:t>URBROJ: 2163-6-09/01-24-2</w:t>
      </w:r>
    </w:p>
    <w:p w14:paraId="677D2CE8" w14:textId="4011E1A4" w:rsidR="00C1033D" w:rsidRPr="00C1033D" w:rsidRDefault="00C1033D" w:rsidP="00C1033D">
      <w:pPr>
        <w:jc w:val="both"/>
        <w:rPr>
          <w:b/>
          <w:bCs/>
          <w:sz w:val="24"/>
          <w:szCs w:val="24"/>
          <w:lang w:val="hr-HR"/>
        </w:rPr>
      </w:pPr>
      <w:r w:rsidRPr="00C1033D">
        <w:rPr>
          <w:b/>
          <w:bCs/>
          <w:sz w:val="24"/>
          <w:szCs w:val="24"/>
          <w:lang w:val="hr-HR"/>
        </w:rPr>
        <w:t>Poreč-Parenzo, 2. listopada 2024.</w:t>
      </w:r>
    </w:p>
    <w:p w14:paraId="090A251A" w14:textId="77777777" w:rsidR="00C1033D" w:rsidRDefault="00C1033D" w:rsidP="00C1033D">
      <w:pPr>
        <w:jc w:val="both"/>
        <w:rPr>
          <w:sz w:val="24"/>
          <w:szCs w:val="24"/>
          <w:lang w:val="hr-HR"/>
        </w:rPr>
      </w:pPr>
    </w:p>
    <w:p w14:paraId="50741207" w14:textId="4EB1387E" w:rsidR="00FB3671" w:rsidRPr="00CA2C43" w:rsidRDefault="00FB3671" w:rsidP="00FB3671">
      <w:pPr>
        <w:ind w:firstLine="708"/>
        <w:jc w:val="both"/>
        <w:rPr>
          <w:sz w:val="24"/>
          <w:szCs w:val="24"/>
          <w:lang w:val="hr-HR"/>
        </w:rPr>
      </w:pPr>
      <w:r w:rsidRPr="00CA2C43">
        <w:rPr>
          <w:sz w:val="24"/>
          <w:szCs w:val="24"/>
          <w:lang w:val="hr-HR"/>
        </w:rPr>
        <w:t xml:space="preserve">Na temelju članka </w:t>
      </w:r>
      <w:r w:rsidRPr="00DD3807">
        <w:rPr>
          <w:sz w:val="24"/>
          <w:szCs w:val="24"/>
          <w:lang w:val="hr-HR"/>
        </w:rPr>
        <w:t xml:space="preserve">48. </w:t>
      </w:r>
      <w:proofErr w:type="spellStart"/>
      <w:r w:rsidRPr="000969CA">
        <w:rPr>
          <w:sz w:val="24"/>
          <w:szCs w:val="24"/>
        </w:rPr>
        <w:t>Zakona</w:t>
      </w:r>
      <w:proofErr w:type="spellEnd"/>
      <w:r w:rsidRPr="000969CA">
        <w:rPr>
          <w:sz w:val="24"/>
          <w:szCs w:val="24"/>
        </w:rPr>
        <w:t xml:space="preserve"> o </w:t>
      </w:r>
      <w:proofErr w:type="spellStart"/>
      <w:r w:rsidRPr="000969CA">
        <w:rPr>
          <w:sz w:val="24"/>
          <w:szCs w:val="24"/>
        </w:rPr>
        <w:t>lokalnoj</w:t>
      </w:r>
      <w:proofErr w:type="spellEnd"/>
      <w:r w:rsidRPr="000969CA">
        <w:rPr>
          <w:sz w:val="24"/>
          <w:szCs w:val="24"/>
        </w:rPr>
        <w:t xml:space="preserve"> </w:t>
      </w:r>
      <w:proofErr w:type="spellStart"/>
      <w:r w:rsidRPr="000969CA">
        <w:rPr>
          <w:sz w:val="24"/>
          <w:szCs w:val="24"/>
        </w:rPr>
        <w:t>i</w:t>
      </w:r>
      <w:proofErr w:type="spellEnd"/>
      <w:r w:rsidRPr="000969CA">
        <w:rPr>
          <w:sz w:val="24"/>
          <w:szCs w:val="24"/>
        </w:rPr>
        <w:t xml:space="preserve"> </w:t>
      </w:r>
      <w:proofErr w:type="spellStart"/>
      <w:r w:rsidRPr="000969CA">
        <w:rPr>
          <w:sz w:val="24"/>
          <w:szCs w:val="24"/>
        </w:rPr>
        <w:t>područnoj</w:t>
      </w:r>
      <w:proofErr w:type="spellEnd"/>
      <w:r w:rsidRPr="000969CA">
        <w:rPr>
          <w:sz w:val="24"/>
          <w:szCs w:val="24"/>
        </w:rPr>
        <w:t xml:space="preserve"> (</w:t>
      </w:r>
      <w:proofErr w:type="spellStart"/>
      <w:r w:rsidRPr="000969CA">
        <w:rPr>
          <w:sz w:val="24"/>
          <w:szCs w:val="24"/>
        </w:rPr>
        <w:t>regionalnoj</w:t>
      </w:r>
      <w:proofErr w:type="spellEnd"/>
      <w:r w:rsidRPr="000969CA">
        <w:rPr>
          <w:sz w:val="24"/>
          <w:szCs w:val="24"/>
        </w:rPr>
        <w:t xml:space="preserve">) </w:t>
      </w:r>
      <w:proofErr w:type="spellStart"/>
      <w:r w:rsidRPr="000969CA">
        <w:rPr>
          <w:sz w:val="24"/>
          <w:szCs w:val="24"/>
        </w:rPr>
        <w:t>samoupravi</w:t>
      </w:r>
      <w:proofErr w:type="spellEnd"/>
      <w:r w:rsidRPr="000969CA">
        <w:rPr>
          <w:sz w:val="24"/>
          <w:szCs w:val="24"/>
        </w:rPr>
        <w:t xml:space="preserve"> („</w:t>
      </w:r>
      <w:proofErr w:type="spellStart"/>
      <w:r w:rsidRPr="00D62247">
        <w:rPr>
          <w:sz w:val="24"/>
          <w:szCs w:val="24"/>
        </w:rPr>
        <w:t>Narodne</w:t>
      </w:r>
      <w:proofErr w:type="spellEnd"/>
      <w:r w:rsidRPr="00D62247">
        <w:rPr>
          <w:sz w:val="24"/>
          <w:szCs w:val="24"/>
        </w:rPr>
        <w:t xml:space="preserve"> </w:t>
      </w:r>
      <w:proofErr w:type="spellStart"/>
      <w:r w:rsidRPr="00D62247">
        <w:rPr>
          <w:sz w:val="24"/>
          <w:szCs w:val="24"/>
        </w:rPr>
        <w:t>novine</w:t>
      </w:r>
      <w:proofErr w:type="spellEnd"/>
      <w:r w:rsidRPr="00D62247">
        <w:rPr>
          <w:sz w:val="24"/>
          <w:szCs w:val="24"/>
        </w:rPr>
        <w:t xml:space="preserve">“, </w:t>
      </w:r>
      <w:proofErr w:type="spellStart"/>
      <w:r w:rsidRPr="00D62247">
        <w:rPr>
          <w:sz w:val="24"/>
          <w:szCs w:val="24"/>
        </w:rPr>
        <w:t>broj</w:t>
      </w:r>
      <w:proofErr w:type="spellEnd"/>
      <w:r w:rsidRPr="00D62247">
        <w:rPr>
          <w:sz w:val="24"/>
          <w:szCs w:val="24"/>
        </w:rPr>
        <w:t xml:space="preserve"> 33/01, 30/01, 129/05, 109/07, 125/08, 36/09, 150/11, 144/12, 19/13, 1357/15, 123/17, 98/19 </w:t>
      </w:r>
      <w:proofErr w:type="spellStart"/>
      <w:r w:rsidRPr="00D62247">
        <w:rPr>
          <w:sz w:val="24"/>
          <w:szCs w:val="24"/>
        </w:rPr>
        <w:t>i</w:t>
      </w:r>
      <w:proofErr w:type="spellEnd"/>
      <w:r w:rsidRPr="00D62247">
        <w:rPr>
          <w:sz w:val="24"/>
          <w:szCs w:val="24"/>
        </w:rPr>
        <w:t xml:space="preserve"> 144/20</w:t>
      </w:r>
      <w:r w:rsidRPr="00FB529A">
        <w:rPr>
          <w:color w:val="000000" w:themeColor="text1"/>
          <w:sz w:val="24"/>
          <w:szCs w:val="24"/>
        </w:rPr>
        <w:t>)</w:t>
      </w:r>
      <w:r w:rsidR="00AC188E"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  <w:lang w:val="hr-HR"/>
        </w:rPr>
        <w:t>i članka 53</w:t>
      </w:r>
      <w:r w:rsidRPr="00CA2C43">
        <w:rPr>
          <w:sz w:val="24"/>
          <w:szCs w:val="24"/>
          <w:lang w:val="hr-HR"/>
        </w:rPr>
        <w:t xml:space="preserve">. Statuta Grada Poreča-Parenzo („Službeni glasnik Grada </w:t>
      </w:r>
      <w:proofErr w:type="spellStart"/>
      <w:r w:rsidRPr="00CA2C43">
        <w:rPr>
          <w:sz w:val="24"/>
          <w:szCs w:val="24"/>
          <w:lang w:val="hr-HR"/>
        </w:rPr>
        <w:t>Grada</w:t>
      </w:r>
      <w:proofErr w:type="spellEnd"/>
      <w:r w:rsidRPr="00CA2C43">
        <w:rPr>
          <w:sz w:val="24"/>
          <w:szCs w:val="24"/>
          <w:lang w:val="hr-HR"/>
        </w:rPr>
        <w:t xml:space="preserve"> Poreča-Parenzo“ broj 2/13, 10/18</w:t>
      </w:r>
      <w:r w:rsidR="00C1033D">
        <w:rPr>
          <w:sz w:val="24"/>
          <w:szCs w:val="24"/>
          <w:lang w:val="hr-HR"/>
        </w:rPr>
        <w:t>,</w:t>
      </w:r>
      <w:r w:rsidRPr="00CA2C43">
        <w:rPr>
          <w:sz w:val="24"/>
          <w:szCs w:val="24"/>
          <w:lang w:val="hr-HR"/>
        </w:rPr>
        <w:t xml:space="preserve"> 2/21</w:t>
      </w:r>
      <w:r w:rsidR="00C1033D">
        <w:rPr>
          <w:sz w:val="24"/>
          <w:szCs w:val="24"/>
          <w:lang w:val="hr-HR"/>
        </w:rPr>
        <w:t xml:space="preserve"> i 12/24</w:t>
      </w:r>
      <w:r w:rsidRPr="00CA2C43">
        <w:rPr>
          <w:sz w:val="24"/>
          <w:szCs w:val="24"/>
          <w:lang w:val="hr-HR"/>
        </w:rPr>
        <w:t>), na prijedlog Upravnog odjela za gospodarstvo i EU fondove KLASA:</w:t>
      </w:r>
      <w:r w:rsidRPr="00CA2C43">
        <w:rPr>
          <w:sz w:val="24"/>
          <w:szCs w:val="24"/>
          <w:lang w:val="hr-HR"/>
        </w:rPr>
        <w:softHyphen/>
      </w:r>
      <w:r w:rsidRPr="00CA2C43">
        <w:rPr>
          <w:sz w:val="24"/>
          <w:szCs w:val="24"/>
          <w:lang w:val="hr-HR"/>
        </w:rPr>
        <w:softHyphen/>
      </w:r>
      <w:r w:rsidRPr="00CA2C43">
        <w:rPr>
          <w:sz w:val="24"/>
          <w:szCs w:val="24"/>
          <w:lang w:val="hr-HR"/>
        </w:rPr>
        <w:softHyphen/>
      </w:r>
      <w:r w:rsidRPr="00CA2C43">
        <w:rPr>
          <w:sz w:val="24"/>
          <w:szCs w:val="24"/>
          <w:lang w:val="hr-HR"/>
        </w:rPr>
        <w:softHyphen/>
      </w:r>
      <w:r w:rsidRPr="00CA2C43">
        <w:rPr>
          <w:sz w:val="24"/>
          <w:szCs w:val="24"/>
          <w:lang w:val="hr-HR"/>
        </w:rPr>
        <w:softHyphen/>
      </w:r>
      <w:r w:rsidR="00C1033D" w:rsidRPr="002D662C">
        <w:rPr>
          <w:sz w:val="24"/>
          <w:szCs w:val="24"/>
          <w:lang w:val="hr-HR"/>
        </w:rPr>
        <w:t>025-01/24-01/0</w:t>
      </w:r>
      <w:r w:rsidR="00C1033D">
        <w:rPr>
          <w:sz w:val="24"/>
          <w:szCs w:val="24"/>
          <w:lang w:val="hr-HR"/>
        </w:rPr>
        <w:t>2</w:t>
      </w:r>
      <w:r w:rsidRPr="00CA2C43">
        <w:rPr>
          <w:sz w:val="24"/>
          <w:szCs w:val="24"/>
          <w:lang w:val="hr-HR"/>
        </w:rPr>
        <w:t xml:space="preserve">, URBROJ: </w:t>
      </w:r>
      <w:r w:rsidR="00C1033D" w:rsidRPr="00C9462A">
        <w:rPr>
          <w:sz w:val="24"/>
          <w:szCs w:val="24"/>
          <w:lang w:val="hr-HR"/>
        </w:rPr>
        <w:t>2163-6-19/09-24-</w:t>
      </w:r>
      <w:r w:rsidR="00C1033D">
        <w:rPr>
          <w:sz w:val="24"/>
          <w:szCs w:val="24"/>
          <w:lang w:val="hr-HR"/>
        </w:rPr>
        <w:t>1</w:t>
      </w:r>
      <w:r w:rsidRPr="00CA2C43">
        <w:rPr>
          <w:sz w:val="24"/>
          <w:szCs w:val="24"/>
          <w:lang w:val="hr-HR"/>
        </w:rPr>
        <w:t xml:space="preserve"> od </w:t>
      </w:r>
      <w:r w:rsidR="00C1033D">
        <w:rPr>
          <w:sz w:val="24"/>
          <w:szCs w:val="24"/>
          <w:lang w:val="hr-HR"/>
        </w:rPr>
        <w:t xml:space="preserve">30. rujna </w:t>
      </w:r>
      <w:r w:rsidRPr="00CA2C43">
        <w:rPr>
          <w:sz w:val="24"/>
          <w:szCs w:val="24"/>
          <w:lang w:val="hr-HR"/>
        </w:rPr>
        <w:t>2024. godine</w:t>
      </w:r>
      <w:r w:rsidR="00C1033D">
        <w:rPr>
          <w:sz w:val="24"/>
          <w:szCs w:val="24"/>
          <w:lang w:val="hr-HR"/>
        </w:rPr>
        <w:t>,</w:t>
      </w:r>
      <w:r w:rsidRPr="00CA2C43">
        <w:rPr>
          <w:sz w:val="24"/>
          <w:szCs w:val="24"/>
          <w:lang w:val="hr-HR"/>
        </w:rPr>
        <w:t xml:space="preserve"> Gradon</w:t>
      </w:r>
      <w:r>
        <w:rPr>
          <w:sz w:val="24"/>
          <w:szCs w:val="24"/>
          <w:lang w:val="hr-HR"/>
        </w:rPr>
        <w:t xml:space="preserve">ačelnik Grada Poreča-Parenzo </w:t>
      </w:r>
      <w:r w:rsidRPr="00CA2C43">
        <w:rPr>
          <w:sz w:val="24"/>
          <w:szCs w:val="24"/>
          <w:lang w:val="hr-HR"/>
        </w:rPr>
        <w:t xml:space="preserve">donio </w:t>
      </w:r>
      <w:r>
        <w:rPr>
          <w:sz w:val="24"/>
          <w:szCs w:val="24"/>
          <w:lang w:val="hr-HR"/>
        </w:rPr>
        <w:t xml:space="preserve">je </w:t>
      </w:r>
      <w:r w:rsidRPr="00CA2C43">
        <w:rPr>
          <w:sz w:val="24"/>
          <w:szCs w:val="24"/>
          <w:lang w:val="hr-HR"/>
        </w:rPr>
        <w:t xml:space="preserve">sljedeći  </w:t>
      </w:r>
    </w:p>
    <w:p w14:paraId="0FE476AE" w14:textId="77777777" w:rsidR="00FB3671" w:rsidRPr="00CA2C43" w:rsidRDefault="00FB3671" w:rsidP="00FB3671">
      <w:pPr>
        <w:jc w:val="center"/>
        <w:rPr>
          <w:b/>
          <w:color w:val="FF0000"/>
          <w:sz w:val="24"/>
          <w:szCs w:val="24"/>
          <w:lang w:val="hr-HR"/>
        </w:rPr>
      </w:pPr>
    </w:p>
    <w:p w14:paraId="6961E2A2" w14:textId="77777777" w:rsidR="00FB3671" w:rsidRPr="00CA2C43" w:rsidRDefault="00FB3671" w:rsidP="00C1033D">
      <w:pPr>
        <w:rPr>
          <w:b/>
          <w:color w:val="FF0000"/>
          <w:sz w:val="24"/>
          <w:szCs w:val="24"/>
          <w:lang w:val="hr-HR"/>
        </w:rPr>
      </w:pPr>
    </w:p>
    <w:p w14:paraId="6B404E8B" w14:textId="77777777" w:rsidR="00FB3671" w:rsidRPr="00CA2C43" w:rsidRDefault="00FB3671" w:rsidP="00FB3671">
      <w:pPr>
        <w:jc w:val="center"/>
        <w:rPr>
          <w:b/>
          <w:sz w:val="24"/>
          <w:szCs w:val="24"/>
          <w:lang w:val="hr-HR"/>
        </w:rPr>
      </w:pPr>
      <w:r w:rsidRPr="00CA2C43">
        <w:rPr>
          <w:b/>
          <w:sz w:val="24"/>
          <w:szCs w:val="24"/>
          <w:lang w:val="hr-HR"/>
        </w:rPr>
        <w:t>ZAKLJUČAK</w:t>
      </w:r>
    </w:p>
    <w:p w14:paraId="1D1227B4" w14:textId="77777777" w:rsidR="00FB3671" w:rsidRPr="00CA2C43" w:rsidRDefault="00FB3671" w:rsidP="00FB3671">
      <w:pPr>
        <w:jc w:val="center"/>
        <w:rPr>
          <w:b/>
          <w:sz w:val="24"/>
          <w:szCs w:val="24"/>
          <w:lang w:val="hr-HR"/>
        </w:rPr>
      </w:pPr>
    </w:p>
    <w:p w14:paraId="322D8EAA" w14:textId="77777777" w:rsidR="00FB3671" w:rsidRPr="00CA2C43" w:rsidRDefault="00FB3671" w:rsidP="00C1033D">
      <w:pPr>
        <w:rPr>
          <w:b/>
          <w:sz w:val="24"/>
          <w:szCs w:val="24"/>
          <w:lang w:val="hr-HR"/>
        </w:rPr>
      </w:pPr>
    </w:p>
    <w:p w14:paraId="18C6CAE1" w14:textId="34D99393" w:rsidR="00FB3671" w:rsidRPr="00CA2C43" w:rsidRDefault="00FB3671" w:rsidP="00FB3671">
      <w:pPr>
        <w:pStyle w:val="Odlomakpopisa"/>
        <w:numPr>
          <w:ilvl w:val="0"/>
          <w:numId w:val="4"/>
        </w:numPr>
        <w:jc w:val="both"/>
        <w:rPr>
          <w:b/>
          <w:sz w:val="24"/>
          <w:szCs w:val="24"/>
          <w:lang w:val="hr-HR"/>
        </w:rPr>
      </w:pPr>
      <w:r w:rsidRPr="00CA2C43">
        <w:rPr>
          <w:sz w:val="24"/>
          <w:szCs w:val="24"/>
          <w:lang w:val="hr-HR"/>
        </w:rPr>
        <w:t xml:space="preserve">Utvrđuje se prijedlog </w:t>
      </w:r>
      <w:r w:rsidRPr="00797C53">
        <w:rPr>
          <w:sz w:val="24"/>
          <w:szCs w:val="24"/>
          <w:lang w:val="hr-HR"/>
        </w:rPr>
        <w:t xml:space="preserve">Odluke o </w:t>
      </w:r>
      <w:r>
        <w:rPr>
          <w:sz w:val="24"/>
          <w:szCs w:val="24"/>
          <w:lang w:val="hr-HR"/>
        </w:rPr>
        <w:t>usklađenju temeljnog kapitala</w:t>
      </w:r>
      <w:r w:rsidR="00FD05A4">
        <w:rPr>
          <w:sz w:val="24"/>
          <w:szCs w:val="24"/>
          <w:lang w:val="hr-HR"/>
        </w:rPr>
        <w:t xml:space="preserve"> trgovačkog</w:t>
      </w:r>
      <w:r>
        <w:rPr>
          <w:sz w:val="24"/>
          <w:szCs w:val="24"/>
          <w:lang w:val="hr-HR"/>
        </w:rPr>
        <w:t xml:space="preserve"> društva</w:t>
      </w:r>
      <w:r w:rsidRPr="00797C53">
        <w:rPr>
          <w:sz w:val="24"/>
          <w:szCs w:val="24"/>
          <w:lang w:val="hr-HR"/>
        </w:rPr>
        <w:t xml:space="preserve"> Dom Poreč d.o.o.</w:t>
      </w:r>
      <w:r>
        <w:rPr>
          <w:sz w:val="24"/>
          <w:szCs w:val="24"/>
          <w:lang w:val="hr-HR"/>
        </w:rPr>
        <w:t xml:space="preserve"> </w:t>
      </w:r>
      <w:r w:rsidRPr="00CA2C43">
        <w:rPr>
          <w:sz w:val="24"/>
          <w:szCs w:val="24"/>
          <w:lang w:val="hr-HR"/>
        </w:rPr>
        <w:t>te se dostavlja Gradskom vijeću Grada Poreča-Parenzo na razmatranje i donošenje u priloženom tekstu.</w:t>
      </w:r>
    </w:p>
    <w:p w14:paraId="1D61D948" w14:textId="77777777" w:rsidR="00FB3671" w:rsidRPr="00CA2C43" w:rsidRDefault="00FB3671" w:rsidP="00FB3671">
      <w:pPr>
        <w:pStyle w:val="Odlomakpopisa"/>
        <w:jc w:val="both"/>
        <w:rPr>
          <w:b/>
          <w:sz w:val="24"/>
          <w:szCs w:val="24"/>
          <w:lang w:val="hr-HR"/>
        </w:rPr>
      </w:pPr>
    </w:p>
    <w:p w14:paraId="4DD953D5" w14:textId="77777777" w:rsidR="00FB3671" w:rsidRPr="00DD3807" w:rsidRDefault="00FB3671" w:rsidP="00FB3671">
      <w:pPr>
        <w:pStyle w:val="Odlomakpopisa"/>
        <w:numPr>
          <w:ilvl w:val="0"/>
          <w:numId w:val="4"/>
        </w:numPr>
        <w:jc w:val="both"/>
        <w:rPr>
          <w:b/>
          <w:color w:val="FF0000"/>
          <w:sz w:val="24"/>
          <w:szCs w:val="24"/>
          <w:lang w:val="hr-HR"/>
        </w:rPr>
      </w:pPr>
      <w:r w:rsidRPr="00DD3807">
        <w:rPr>
          <w:sz w:val="24"/>
          <w:szCs w:val="24"/>
          <w:lang w:val="hr-HR"/>
        </w:rPr>
        <w:t>Na sjednici Gradskog vijeća sva potrebna tumačenja uz prijedlog Odluke dat će Tatjana Matošević, pročelnica Upravnog odjela za financije i Morena Mičetić, pročelnica Upravnog odjela za gospodarstvo i EU fondove.</w:t>
      </w:r>
    </w:p>
    <w:p w14:paraId="2571E075" w14:textId="77777777" w:rsidR="00FB3671" w:rsidRPr="00DD3807" w:rsidRDefault="00FB3671" w:rsidP="00FB3671">
      <w:pPr>
        <w:jc w:val="center"/>
        <w:rPr>
          <w:b/>
          <w:color w:val="FF0000"/>
          <w:sz w:val="24"/>
          <w:szCs w:val="24"/>
          <w:lang w:val="hr-HR"/>
        </w:rPr>
      </w:pPr>
    </w:p>
    <w:p w14:paraId="1CBCA652" w14:textId="77777777" w:rsidR="00FB3671" w:rsidRPr="00DD3807" w:rsidRDefault="00FB3671" w:rsidP="00FB3671">
      <w:pPr>
        <w:jc w:val="center"/>
        <w:rPr>
          <w:b/>
          <w:sz w:val="24"/>
          <w:szCs w:val="24"/>
          <w:lang w:val="hr-HR"/>
        </w:rPr>
      </w:pPr>
    </w:p>
    <w:p w14:paraId="0C456C03" w14:textId="13013EAD" w:rsidR="00FB3671" w:rsidRPr="00DD3807" w:rsidRDefault="00FB3671" w:rsidP="00FB3671">
      <w:pPr>
        <w:ind w:left="4956" w:firstLine="708"/>
        <w:rPr>
          <w:b/>
          <w:sz w:val="24"/>
          <w:szCs w:val="24"/>
          <w:lang w:val="hr-HR"/>
        </w:rPr>
      </w:pPr>
      <w:r w:rsidRPr="00DD3807">
        <w:rPr>
          <w:b/>
          <w:sz w:val="24"/>
          <w:szCs w:val="24"/>
          <w:lang w:val="hr-HR"/>
        </w:rPr>
        <w:t xml:space="preserve">          </w:t>
      </w:r>
      <w:r>
        <w:rPr>
          <w:b/>
          <w:sz w:val="24"/>
          <w:szCs w:val="24"/>
          <w:lang w:val="hr-HR"/>
        </w:rPr>
        <w:t xml:space="preserve">       </w:t>
      </w:r>
      <w:r w:rsidR="00C1033D" w:rsidRPr="00DD3807">
        <w:rPr>
          <w:b/>
          <w:sz w:val="24"/>
          <w:szCs w:val="24"/>
          <w:lang w:val="hr-HR"/>
        </w:rPr>
        <w:t>GRADONAČELNIK</w:t>
      </w:r>
    </w:p>
    <w:p w14:paraId="5E4D68DC" w14:textId="6D9059CF" w:rsidR="00FB3671" w:rsidRPr="00DD3807" w:rsidRDefault="00FB3671" w:rsidP="00FB3671">
      <w:pPr>
        <w:ind w:left="3540" w:firstLine="708"/>
        <w:jc w:val="center"/>
        <w:rPr>
          <w:b/>
          <w:sz w:val="24"/>
          <w:szCs w:val="24"/>
          <w:lang w:val="hr-HR"/>
        </w:rPr>
      </w:pPr>
      <w:r w:rsidRPr="00DD3807">
        <w:rPr>
          <w:b/>
          <w:sz w:val="24"/>
          <w:szCs w:val="24"/>
          <w:lang w:val="hr-HR"/>
        </w:rPr>
        <w:t xml:space="preserve">                       </w:t>
      </w:r>
      <w:r w:rsidR="00C1033D">
        <w:rPr>
          <w:b/>
          <w:sz w:val="24"/>
          <w:szCs w:val="24"/>
          <w:lang w:val="hr-HR"/>
        </w:rPr>
        <w:t xml:space="preserve">            </w:t>
      </w:r>
      <w:r w:rsidRPr="00DD3807">
        <w:rPr>
          <w:b/>
          <w:sz w:val="24"/>
          <w:szCs w:val="24"/>
          <w:lang w:val="hr-HR"/>
        </w:rPr>
        <w:t xml:space="preserve">   Loris Peršurić</w:t>
      </w:r>
    </w:p>
    <w:p w14:paraId="5ABC9B7C" w14:textId="77777777" w:rsidR="00FB3671" w:rsidRPr="00DD3807" w:rsidRDefault="00FB3671" w:rsidP="00FB3671">
      <w:pPr>
        <w:jc w:val="center"/>
        <w:rPr>
          <w:b/>
          <w:sz w:val="24"/>
          <w:szCs w:val="24"/>
          <w:lang w:val="hr-HR"/>
        </w:rPr>
      </w:pPr>
    </w:p>
    <w:p w14:paraId="00B240E1" w14:textId="77777777" w:rsidR="00C1033D" w:rsidRDefault="00C1033D" w:rsidP="00FB3671">
      <w:pPr>
        <w:rPr>
          <w:sz w:val="24"/>
          <w:szCs w:val="24"/>
          <w:lang w:val="hr-HR"/>
        </w:rPr>
      </w:pPr>
    </w:p>
    <w:p w14:paraId="417BAC03" w14:textId="77777777" w:rsidR="00C1033D" w:rsidRDefault="00C1033D" w:rsidP="00FB3671">
      <w:pPr>
        <w:rPr>
          <w:sz w:val="24"/>
          <w:szCs w:val="24"/>
          <w:lang w:val="hr-HR"/>
        </w:rPr>
      </w:pPr>
    </w:p>
    <w:p w14:paraId="728039DB" w14:textId="77777777" w:rsidR="00C1033D" w:rsidRDefault="00C1033D" w:rsidP="00FB3671">
      <w:pPr>
        <w:rPr>
          <w:sz w:val="24"/>
          <w:szCs w:val="24"/>
          <w:lang w:val="hr-HR"/>
        </w:rPr>
      </w:pPr>
    </w:p>
    <w:p w14:paraId="5FCA7642" w14:textId="77777777" w:rsidR="00C1033D" w:rsidRDefault="00C1033D" w:rsidP="00FB3671">
      <w:pPr>
        <w:rPr>
          <w:sz w:val="24"/>
          <w:szCs w:val="24"/>
          <w:lang w:val="hr-HR"/>
        </w:rPr>
      </w:pPr>
    </w:p>
    <w:p w14:paraId="0CED42F4" w14:textId="77777777" w:rsidR="00C1033D" w:rsidRDefault="00C1033D" w:rsidP="00FB3671">
      <w:pPr>
        <w:rPr>
          <w:sz w:val="24"/>
          <w:szCs w:val="24"/>
          <w:lang w:val="hr-HR"/>
        </w:rPr>
      </w:pPr>
    </w:p>
    <w:p w14:paraId="10A5BC8A" w14:textId="7527A4E1" w:rsidR="00FB3671" w:rsidRPr="00DD3807" w:rsidRDefault="00FB3671" w:rsidP="00FB3671">
      <w:pPr>
        <w:rPr>
          <w:sz w:val="24"/>
          <w:szCs w:val="24"/>
          <w:lang w:val="hr-HR"/>
        </w:rPr>
      </w:pPr>
      <w:r w:rsidRPr="00DD3807">
        <w:rPr>
          <w:sz w:val="24"/>
          <w:szCs w:val="24"/>
          <w:lang w:val="hr-HR"/>
        </w:rPr>
        <w:t>Prilog:</w:t>
      </w:r>
    </w:p>
    <w:p w14:paraId="413EC177" w14:textId="77777777" w:rsidR="00FB3671" w:rsidRPr="00DD3807" w:rsidRDefault="00FB3671" w:rsidP="00FB3671">
      <w:pPr>
        <w:rPr>
          <w:sz w:val="24"/>
          <w:szCs w:val="24"/>
          <w:lang w:val="hr-HR"/>
        </w:rPr>
      </w:pPr>
      <w:r w:rsidRPr="00DD3807">
        <w:rPr>
          <w:sz w:val="24"/>
          <w:szCs w:val="24"/>
          <w:lang w:val="hr-HR"/>
        </w:rPr>
        <w:t>- Prijedlog Odluke</w:t>
      </w:r>
    </w:p>
    <w:p w14:paraId="1F90C913" w14:textId="77777777" w:rsidR="00FB3671" w:rsidRPr="00DD3807" w:rsidRDefault="00FB3671" w:rsidP="00FB3671">
      <w:pPr>
        <w:rPr>
          <w:b/>
          <w:bCs/>
          <w:sz w:val="24"/>
          <w:szCs w:val="24"/>
          <w:lang w:val="hr-HR"/>
        </w:rPr>
      </w:pPr>
      <w:r w:rsidRPr="00DD3807">
        <w:rPr>
          <w:b/>
          <w:bCs/>
          <w:sz w:val="24"/>
          <w:szCs w:val="24"/>
          <w:lang w:val="hr-HR"/>
        </w:rPr>
        <w:t xml:space="preserve">               </w:t>
      </w:r>
    </w:p>
    <w:p w14:paraId="107EA563" w14:textId="77777777" w:rsidR="00FB3671" w:rsidRPr="00DD3807" w:rsidRDefault="00FB3671" w:rsidP="00FB3671">
      <w:pPr>
        <w:rPr>
          <w:b/>
          <w:bCs/>
          <w:sz w:val="24"/>
          <w:szCs w:val="24"/>
          <w:lang w:val="hr-HR"/>
        </w:rPr>
      </w:pPr>
    </w:p>
    <w:p w14:paraId="5A065716" w14:textId="77777777" w:rsidR="00C1033D" w:rsidRDefault="00C1033D" w:rsidP="00FB3671">
      <w:pPr>
        <w:rPr>
          <w:bCs/>
          <w:sz w:val="24"/>
          <w:szCs w:val="24"/>
          <w:lang w:val="hr-HR"/>
        </w:rPr>
      </w:pPr>
    </w:p>
    <w:p w14:paraId="1E24A161" w14:textId="77777777" w:rsidR="00C1033D" w:rsidRDefault="00C1033D" w:rsidP="00FB3671">
      <w:pPr>
        <w:rPr>
          <w:bCs/>
          <w:sz w:val="24"/>
          <w:szCs w:val="24"/>
          <w:lang w:val="hr-HR"/>
        </w:rPr>
      </w:pPr>
    </w:p>
    <w:p w14:paraId="659B8561" w14:textId="3CAD93EB" w:rsidR="00FB3671" w:rsidRPr="00DD3807" w:rsidRDefault="00C1033D" w:rsidP="00FB3671">
      <w:pPr>
        <w:rPr>
          <w:bCs/>
          <w:sz w:val="24"/>
          <w:szCs w:val="24"/>
          <w:lang w:val="hr-HR"/>
        </w:rPr>
      </w:pPr>
      <w:r w:rsidRPr="00C1033D">
        <w:rPr>
          <w:b/>
          <w:sz w:val="24"/>
          <w:szCs w:val="24"/>
          <w:lang w:val="hr-HR"/>
        </w:rPr>
        <w:t>DOSTAVITI</w:t>
      </w:r>
      <w:r w:rsidR="00FB3671" w:rsidRPr="00DD3807">
        <w:rPr>
          <w:bCs/>
          <w:sz w:val="24"/>
          <w:szCs w:val="24"/>
          <w:lang w:val="hr-HR"/>
        </w:rPr>
        <w:t>:</w:t>
      </w:r>
      <w:r w:rsidR="00FB3671" w:rsidRPr="00DD3807">
        <w:rPr>
          <w:bCs/>
          <w:sz w:val="24"/>
          <w:szCs w:val="24"/>
          <w:lang w:val="hr-HR"/>
        </w:rPr>
        <w:tab/>
      </w:r>
      <w:r w:rsidR="00FB3671" w:rsidRPr="00DD3807">
        <w:rPr>
          <w:bCs/>
          <w:sz w:val="24"/>
          <w:szCs w:val="24"/>
          <w:lang w:val="hr-HR"/>
        </w:rPr>
        <w:tab/>
      </w:r>
      <w:r w:rsidR="00FB3671" w:rsidRPr="00DD3807">
        <w:rPr>
          <w:bCs/>
          <w:sz w:val="24"/>
          <w:szCs w:val="24"/>
          <w:lang w:val="hr-HR"/>
        </w:rPr>
        <w:tab/>
      </w:r>
      <w:r w:rsidR="00FB3671" w:rsidRPr="00DD3807">
        <w:rPr>
          <w:bCs/>
          <w:sz w:val="24"/>
          <w:szCs w:val="24"/>
          <w:lang w:val="hr-HR"/>
        </w:rPr>
        <w:tab/>
      </w:r>
      <w:r w:rsidR="00FB3671" w:rsidRPr="00DD3807">
        <w:rPr>
          <w:bCs/>
          <w:sz w:val="24"/>
          <w:szCs w:val="24"/>
          <w:lang w:val="hr-HR"/>
        </w:rPr>
        <w:tab/>
      </w:r>
      <w:r w:rsidR="00FB3671" w:rsidRPr="00DD3807">
        <w:rPr>
          <w:bCs/>
          <w:sz w:val="24"/>
          <w:szCs w:val="24"/>
          <w:lang w:val="hr-HR"/>
        </w:rPr>
        <w:tab/>
      </w:r>
      <w:r w:rsidR="00FB3671" w:rsidRPr="00DD3807">
        <w:rPr>
          <w:bCs/>
          <w:sz w:val="24"/>
          <w:szCs w:val="24"/>
          <w:lang w:val="hr-HR"/>
        </w:rPr>
        <w:tab/>
        <w:t xml:space="preserve">   </w:t>
      </w:r>
    </w:p>
    <w:p w14:paraId="1A58BFD8" w14:textId="6A1061E1" w:rsidR="00FB3671" w:rsidRPr="00DD3807" w:rsidRDefault="00FB3671" w:rsidP="00FB3671">
      <w:pPr>
        <w:pStyle w:val="Odlomakpopisa"/>
        <w:numPr>
          <w:ilvl w:val="0"/>
          <w:numId w:val="5"/>
        </w:numPr>
        <w:rPr>
          <w:bCs/>
          <w:sz w:val="24"/>
          <w:szCs w:val="24"/>
          <w:lang w:val="hr-HR"/>
        </w:rPr>
      </w:pPr>
      <w:r w:rsidRPr="00DD3807">
        <w:rPr>
          <w:bCs/>
          <w:sz w:val="24"/>
          <w:szCs w:val="24"/>
          <w:lang w:val="hr-HR"/>
        </w:rPr>
        <w:t>Gradsko vijeće Grada Poreča-Parenzo, ovdje</w:t>
      </w:r>
      <w:r w:rsidR="00C1033D">
        <w:rPr>
          <w:bCs/>
          <w:sz w:val="24"/>
          <w:szCs w:val="24"/>
          <w:lang w:val="hr-HR"/>
        </w:rPr>
        <w:t>,</w:t>
      </w:r>
    </w:p>
    <w:p w14:paraId="59C480A2" w14:textId="1187F34C" w:rsidR="00FB3671" w:rsidRPr="00DD3807" w:rsidRDefault="00FB3671" w:rsidP="00FB3671">
      <w:pPr>
        <w:pStyle w:val="Odlomakpopisa"/>
        <w:numPr>
          <w:ilvl w:val="0"/>
          <w:numId w:val="5"/>
        </w:numPr>
        <w:rPr>
          <w:bCs/>
          <w:sz w:val="24"/>
          <w:szCs w:val="24"/>
          <w:lang w:val="hr-HR"/>
        </w:rPr>
      </w:pPr>
      <w:r w:rsidRPr="00DD3807">
        <w:rPr>
          <w:bCs/>
          <w:sz w:val="24"/>
          <w:szCs w:val="24"/>
          <w:lang w:val="hr-HR"/>
        </w:rPr>
        <w:t>Upravni odjel za gospodarstvo i EU fondove, ovdje</w:t>
      </w:r>
      <w:r w:rsidR="00C1033D">
        <w:rPr>
          <w:bCs/>
          <w:sz w:val="24"/>
          <w:szCs w:val="24"/>
          <w:lang w:val="hr-HR"/>
        </w:rPr>
        <w:t>,</w:t>
      </w:r>
      <w:r w:rsidRPr="00DD3807">
        <w:rPr>
          <w:bCs/>
          <w:sz w:val="24"/>
          <w:szCs w:val="24"/>
          <w:lang w:val="hr-HR"/>
        </w:rPr>
        <w:tab/>
      </w:r>
    </w:p>
    <w:p w14:paraId="6287A569" w14:textId="4B4567D9" w:rsidR="00FB3671" w:rsidRPr="00DD3807" w:rsidRDefault="00FB3671" w:rsidP="00FB3671">
      <w:pPr>
        <w:pStyle w:val="Odlomakpopisa"/>
        <w:numPr>
          <w:ilvl w:val="0"/>
          <w:numId w:val="5"/>
        </w:numPr>
        <w:rPr>
          <w:bCs/>
          <w:sz w:val="24"/>
          <w:szCs w:val="24"/>
          <w:lang w:val="hr-HR"/>
        </w:rPr>
      </w:pPr>
      <w:r w:rsidRPr="00DD3807">
        <w:rPr>
          <w:bCs/>
          <w:sz w:val="24"/>
          <w:szCs w:val="24"/>
          <w:lang w:val="hr-HR"/>
        </w:rPr>
        <w:t>Upravni odjel za financije</w:t>
      </w:r>
      <w:r>
        <w:rPr>
          <w:bCs/>
          <w:sz w:val="24"/>
          <w:szCs w:val="24"/>
          <w:lang w:val="hr-HR"/>
        </w:rPr>
        <w:t>, ovdje</w:t>
      </w:r>
      <w:r w:rsidR="00C1033D">
        <w:rPr>
          <w:bCs/>
          <w:sz w:val="24"/>
          <w:szCs w:val="24"/>
          <w:lang w:val="hr-HR"/>
        </w:rPr>
        <w:t>,</w:t>
      </w:r>
      <w:r w:rsidRPr="00DD3807">
        <w:rPr>
          <w:bCs/>
          <w:sz w:val="24"/>
          <w:szCs w:val="24"/>
          <w:lang w:val="hr-HR"/>
        </w:rPr>
        <w:tab/>
      </w:r>
      <w:r w:rsidRPr="00DD3807">
        <w:rPr>
          <w:bCs/>
          <w:sz w:val="24"/>
          <w:szCs w:val="24"/>
          <w:lang w:val="hr-HR"/>
        </w:rPr>
        <w:tab/>
        <w:t xml:space="preserve">  </w:t>
      </w:r>
    </w:p>
    <w:p w14:paraId="08E18FD4" w14:textId="77777777" w:rsidR="00FB3671" w:rsidRPr="00DD3807" w:rsidRDefault="00FB3671" w:rsidP="00FB3671">
      <w:pPr>
        <w:pStyle w:val="Odlomakpopisa"/>
        <w:numPr>
          <w:ilvl w:val="0"/>
          <w:numId w:val="5"/>
        </w:numPr>
        <w:rPr>
          <w:bCs/>
          <w:sz w:val="24"/>
          <w:szCs w:val="24"/>
          <w:lang w:val="hr-HR"/>
        </w:rPr>
      </w:pPr>
      <w:r w:rsidRPr="00DD3807">
        <w:rPr>
          <w:bCs/>
          <w:sz w:val="24"/>
          <w:szCs w:val="24"/>
          <w:lang w:val="hr-HR"/>
        </w:rPr>
        <w:t>Pismohrana, ovdje.</w:t>
      </w:r>
    </w:p>
    <w:p w14:paraId="5B3F57F4" w14:textId="4F3680EC" w:rsidR="00C1033D" w:rsidRDefault="00C1033D" w:rsidP="00FB3671">
      <w:pPr>
        <w:rPr>
          <w:b/>
          <w:sz w:val="24"/>
          <w:szCs w:val="24"/>
        </w:rPr>
      </w:pPr>
    </w:p>
    <w:p w14:paraId="78FCBC11" w14:textId="77777777" w:rsidR="00C1033D" w:rsidRDefault="00C1033D" w:rsidP="00FB3671">
      <w:pPr>
        <w:rPr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</w:tblGrid>
      <w:tr w:rsidR="00C1033D" w:rsidRPr="0071412A" w14:paraId="7C933BC2" w14:textId="77777777" w:rsidTr="00291482">
        <w:trPr>
          <w:cantSplit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185128B4" w14:textId="77777777" w:rsidR="00C1033D" w:rsidRPr="00745812" w:rsidRDefault="00C1033D" w:rsidP="00291482">
            <w:pPr>
              <w:jc w:val="center"/>
              <w:rPr>
                <w:b/>
                <w:bCs/>
                <w:sz w:val="12"/>
                <w:szCs w:val="12"/>
              </w:rPr>
            </w:pPr>
            <w:r w:rsidRPr="00E519F6">
              <w:rPr>
                <w:b/>
                <w:noProof/>
                <w:sz w:val="32"/>
                <w:szCs w:val="32"/>
                <w:lang w:val="hr-HR"/>
              </w:rPr>
              <w:drawing>
                <wp:inline distT="0" distB="0" distL="0" distR="0" wp14:anchorId="64F85F97" wp14:editId="277812AD">
                  <wp:extent cx="504825" cy="619125"/>
                  <wp:effectExtent l="0" t="0" r="9525" b="9525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33D" w:rsidRPr="00E519F6" w14:paraId="3C610345" w14:textId="77777777" w:rsidTr="00291482">
        <w:trPr>
          <w:cantSplit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37686E6C" w14:textId="77777777" w:rsidR="00C1033D" w:rsidRPr="00C1033D" w:rsidRDefault="00C1033D" w:rsidP="00291482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C1033D">
              <w:rPr>
                <w:b/>
                <w:sz w:val="24"/>
                <w:szCs w:val="24"/>
                <w:lang w:val="hr-HR"/>
              </w:rPr>
              <w:t>REPUBLIKA HRVATSKA</w:t>
            </w:r>
          </w:p>
        </w:tc>
      </w:tr>
      <w:tr w:rsidR="00C1033D" w:rsidRPr="00E519F6" w14:paraId="27E203AC" w14:textId="77777777" w:rsidTr="00291482">
        <w:trPr>
          <w:cantSplit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70C74654" w14:textId="77777777" w:rsidR="00C1033D" w:rsidRPr="00C1033D" w:rsidRDefault="00C1033D" w:rsidP="00291482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C1033D">
              <w:rPr>
                <w:b/>
                <w:sz w:val="24"/>
                <w:szCs w:val="24"/>
                <w:lang w:val="hr-HR"/>
              </w:rPr>
              <w:t>ISTARSKA ŽUPANIJA</w:t>
            </w:r>
          </w:p>
        </w:tc>
      </w:tr>
      <w:tr w:rsidR="00C1033D" w:rsidRPr="00E519F6" w14:paraId="19372EBF" w14:textId="77777777" w:rsidTr="00291482">
        <w:trPr>
          <w:cantSplit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24B39A67" w14:textId="77777777" w:rsidR="00C1033D" w:rsidRPr="00C1033D" w:rsidRDefault="00C1033D" w:rsidP="00291482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C1033D">
              <w:rPr>
                <w:b/>
                <w:sz w:val="24"/>
                <w:szCs w:val="24"/>
                <w:lang w:val="hr-HR"/>
              </w:rPr>
              <w:t>GRAD POREČ-PARENZO</w:t>
            </w:r>
          </w:p>
        </w:tc>
      </w:tr>
      <w:tr w:rsidR="00C1033D" w:rsidRPr="00E519F6" w14:paraId="7940B9F3" w14:textId="77777777" w:rsidTr="00291482">
        <w:trPr>
          <w:cantSplit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75091A3E" w14:textId="77777777" w:rsidR="00C1033D" w:rsidRPr="00C1033D" w:rsidRDefault="00C1033D" w:rsidP="00291482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C1033D">
              <w:rPr>
                <w:b/>
                <w:sz w:val="24"/>
                <w:szCs w:val="24"/>
                <w:lang w:val="hr-HR"/>
              </w:rPr>
              <w:t>CITTA DI POREČ-PARENZO</w:t>
            </w:r>
          </w:p>
        </w:tc>
      </w:tr>
      <w:tr w:rsidR="00C1033D" w:rsidRPr="00E519F6" w14:paraId="431598AD" w14:textId="77777777" w:rsidTr="00291482">
        <w:trPr>
          <w:cantSplit/>
          <w:trHeight w:val="29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432AA22D" w14:textId="77777777" w:rsidR="00C1033D" w:rsidRPr="00C1033D" w:rsidRDefault="00C1033D" w:rsidP="00291482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C1033D">
              <w:rPr>
                <w:b/>
                <w:sz w:val="24"/>
                <w:szCs w:val="24"/>
                <w:lang w:val="hr-HR"/>
              </w:rPr>
              <w:t>Gradsko vijeće</w:t>
            </w:r>
          </w:p>
          <w:p w14:paraId="559C7EC6" w14:textId="77777777" w:rsidR="00C1033D" w:rsidRPr="00C1033D" w:rsidRDefault="00C1033D" w:rsidP="00291482">
            <w:pPr>
              <w:rPr>
                <w:b/>
                <w:sz w:val="24"/>
                <w:szCs w:val="24"/>
                <w:lang w:val="hr-HR"/>
              </w:rPr>
            </w:pPr>
            <w:r w:rsidRPr="00C1033D">
              <w:rPr>
                <w:b/>
                <w:sz w:val="24"/>
                <w:szCs w:val="24"/>
                <w:lang w:val="hr-HR"/>
              </w:rPr>
              <w:t>KLASA:</w:t>
            </w:r>
          </w:p>
          <w:p w14:paraId="6FB85761" w14:textId="77777777" w:rsidR="00C1033D" w:rsidRPr="00C1033D" w:rsidRDefault="00C1033D" w:rsidP="00291482">
            <w:pPr>
              <w:rPr>
                <w:b/>
                <w:sz w:val="24"/>
                <w:szCs w:val="24"/>
                <w:lang w:val="hr-HR"/>
              </w:rPr>
            </w:pPr>
            <w:r w:rsidRPr="00C1033D">
              <w:rPr>
                <w:b/>
                <w:sz w:val="24"/>
                <w:szCs w:val="24"/>
                <w:lang w:val="hr-HR"/>
              </w:rPr>
              <w:t>URBROJ:</w:t>
            </w:r>
          </w:p>
          <w:p w14:paraId="0DFD2232" w14:textId="77777777" w:rsidR="00C1033D" w:rsidRPr="00C1033D" w:rsidRDefault="00C1033D" w:rsidP="00291482">
            <w:pPr>
              <w:rPr>
                <w:b/>
                <w:sz w:val="24"/>
                <w:szCs w:val="24"/>
                <w:lang w:val="hr-HR"/>
              </w:rPr>
            </w:pPr>
            <w:r w:rsidRPr="00C1033D">
              <w:rPr>
                <w:b/>
                <w:sz w:val="24"/>
                <w:szCs w:val="24"/>
                <w:lang w:val="hr-HR"/>
              </w:rPr>
              <w:t>Poreč-Parenzo,</w:t>
            </w:r>
          </w:p>
        </w:tc>
      </w:tr>
    </w:tbl>
    <w:p w14:paraId="2E8F0DC0" w14:textId="77777777" w:rsidR="00C1033D" w:rsidRPr="00E519F6" w:rsidRDefault="00C1033D" w:rsidP="00C1033D">
      <w:pPr>
        <w:autoSpaceDE w:val="0"/>
        <w:autoSpaceDN w:val="0"/>
        <w:adjustRightInd w:val="0"/>
        <w:rPr>
          <w:b/>
          <w:bCs/>
          <w:sz w:val="24"/>
          <w:szCs w:val="24"/>
          <w:lang w:val="hr-HR"/>
        </w:rPr>
      </w:pPr>
    </w:p>
    <w:p w14:paraId="410F3D9D" w14:textId="6B9E596D" w:rsidR="00C1033D" w:rsidRPr="000969CA" w:rsidRDefault="00C1033D" w:rsidP="00C1033D">
      <w:pPr>
        <w:spacing w:line="276" w:lineRule="auto"/>
        <w:jc w:val="both"/>
        <w:rPr>
          <w:sz w:val="24"/>
          <w:szCs w:val="24"/>
        </w:rPr>
      </w:pPr>
      <w:r w:rsidRPr="00225D0B">
        <w:rPr>
          <w:sz w:val="24"/>
          <w:szCs w:val="24"/>
          <w:lang w:val="hr-HR"/>
        </w:rPr>
        <w:tab/>
      </w:r>
      <w:r w:rsidRPr="000969CA">
        <w:rPr>
          <w:sz w:val="24"/>
          <w:szCs w:val="24"/>
        </w:rPr>
        <w:t xml:space="preserve">Na </w:t>
      </w:r>
      <w:proofErr w:type="spellStart"/>
      <w:r w:rsidRPr="000969CA">
        <w:rPr>
          <w:sz w:val="24"/>
          <w:szCs w:val="24"/>
        </w:rPr>
        <w:t>temelju</w:t>
      </w:r>
      <w:proofErr w:type="spellEnd"/>
      <w:r w:rsidRPr="000969CA">
        <w:rPr>
          <w:sz w:val="24"/>
          <w:szCs w:val="24"/>
        </w:rPr>
        <w:t xml:space="preserve"> </w:t>
      </w:r>
      <w:proofErr w:type="spellStart"/>
      <w:r w:rsidRPr="000969CA">
        <w:rPr>
          <w:sz w:val="24"/>
          <w:szCs w:val="24"/>
        </w:rPr>
        <w:t>članka</w:t>
      </w:r>
      <w:proofErr w:type="spellEnd"/>
      <w:r w:rsidRPr="000969CA">
        <w:rPr>
          <w:sz w:val="24"/>
          <w:szCs w:val="24"/>
        </w:rPr>
        <w:t xml:space="preserve"> </w:t>
      </w:r>
      <w:r>
        <w:rPr>
          <w:sz w:val="24"/>
          <w:szCs w:val="24"/>
        </w:rPr>
        <w:t>35</w:t>
      </w:r>
      <w:r w:rsidRPr="000969CA">
        <w:rPr>
          <w:sz w:val="24"/>
          <w:szCs w:val="24"/>
        </w:rPr>
        <w:t xml:space="preserve">. </w:t>
      </w:r>
      <w:proofErr w:type="spellStart"/>
      <w:r w:rsidRPr="000969CA">
        <w:rPr>
          <w:sz w:val="24"/>
          <w:szCs w:val="24"/>
        </w:rPr>
        <w:t>Zakona</w:t>
      </w:r>
      <w:proofErr w:type="spellEnd"/>
      <w:r w:rsidRPr="000969CA">
        <w:rPr>
          <w:sz w:val="24"/>
          <w:szCs w:val="24"/>
        </w:rPr>
        <w:t xml:space="preserve"> o </w:t>
      </w:r>
      <w:proofErr w:type="spellStart"/>
      <w:r w:rsidRPr="000969CA">
        <w:rPr>
          <w:sz w:val="24"/>
          <w:szCs w:val="24"/>
        </w:rPr>
        <w:t>lokalnoj</w:t>
      </w:r>
      <w:proofErr w:type="spellEnd"/>
      <w:r w:rsidRPr="000969CA">
        <w:rPr>
          <w:sz w:val="24"/>
          <w:szCs w:val="24"/>
        </w:rPr>
        <w:t xml:space="preserve"> </w:t>
      </w:r>
      <w:proofErr w:type="spellStart"/>
      <w:r w:rsidRPr="000969CA">
        <w:rPr>
          <w:sz w:val="24"/>
          <w:szCs w:val="24"/>
        </w:rPr>
        <w:t>i</w:t>
      </w:r>
      <w:proofErr w:type="spellEnd"/>
      <w:r w:rsidRPr="000969CA">
        <w:rPr>
          <w:sz w:val="24"/>
          <w:szCs w:val="24"/>
        </w:rPr>
        <w:t xml:space="preserve"> </w:t>
      </w:r>
      <w:proofErr w:type="spellStart"/>
      <w:r w:rsidRPr="000969CA">
        <w:rPr>
          <w:sz w:val="24"/>
          <w:szCs w:val="24"/>
        </w:rPr>
        <w:t>područnoj</w:t>
      </w:r>
      <w:proofErr w:type="spellEnd"/>
      <w:r w:rsidRPr="000969CA">
        <w:rPr>
          <w:sz w:val="24"/>
          <w:szCs w:val="24"/>
        </w:rPr>
        <w:t xml:space="preserve"> (</w:t>
      </w:r>
      <w:proofErr w:type="spellStart"/>
      <w:r w:rsidRPr="000969CA">
        <w:rPr>
          <w:sz w:val="24"/>
          <w:szCs w:val="24"/>
        </w:rPr>
        <w:t>regionalnoj</w:t>
      </w:r>
      <w:proofErr w:type="spellEnd"/>
      <w:r w:rsidRPr="000969CA">
        <w:rPr>
          <w:sz w:val="24"/>
          <w:szCs w:val="24"/>
        </w:rPr>
        <w:t xml:space="preserve">) </w:t>
      </w:r>
      <w:proofErr w:type="spellStart"/>
      <w:r w:rsidRPr="000969CA">
        <w:rPr>
          <w:sz w:val="24"/>
          <w:szCs w:val="24"/>
        </w:rPr>
        <w:t>samoupravi</w:t>
      </w:r>
      <w:proofErr w:type="spellEnd"/>
      <w:r w:rsidRPr="000969CA">
        <w:rPr>
          <w:sz w:val="24"/>
          <w:szCs w:val="24"/>
        </w:rPr>
        <w:t xml:space="preserve"> („</w:t>
      </w:r>
      <w:proofErr w:type="spellStart"/>
      <w:r w:rsidRPr="00D62247">
        <w:rPr>
          <w:sz w:val="24"/>
          <w:szCs w:val="24"/>
        </w:rPr>
        <w:t>Narodne</w:t>
      </w:r>
      <w:proofErr w:type="spellEnd"/>
      <w:r w:rsidRPr="00D62247">
        <w:rPr>
          <w:sz w:val="24"/>
          <w:szCs w:val="24"/>
        </w:rPr>
        <w:t xml:space="preserve"> </w:t>
      </w:r>
      <w:proofErr w:type="spellStart"/>
      <w:proofErr w:type="gramStart"/>
      <w:r w:rsidRPr="00D62247">
        <w:rPr>
          <w:sz w:val="24"/>
          <w:szCs w:val="24"/>
        </w:rPr>
        <w:t>novine</w:t>
      </w:r>
      <w:proofErr w:type="spellEnd"/>
      <w:r w:rsidRPr="00D62247">
        <w:rPr>
          <w:sz w:val="24"/>
          <w:szCs w:val="24"/>
        </w:rPr>
        <w:t>“</w:t>
      </w:r>
      <w:proofErr w:type="gramEnd"/>
      <w:r w:rsidRPr="00D62247">
        <w:rPr>
          <w:sz w:val="24"/>
          <w:szCs w:val="24"/>
        </w:rPr>
        <w:t xml:space="preserve">, </w:t>
      </w:r>
      <w:proofErr w:type="spellStart"/>
      <w:r w:rsidRPr="00D62247">
        <w:rPr>
          <w:sz w:val="24"/>
          <w:szCs w:val="24"/>
        </w:rPr>
        <w:t>broj</w:t>
      </w:r>
      <w:proofErr w:type="spellEnd"/>
      <w:r w:rsidRPr="00D62247">
        <w:rPr>
          <w:sz w:val="24"/>
          <w:szCs w:val="24"/>
        </w:rPr>
        <w:t xml:space="preserve"> 33/01, 30/01, 129/05, 109/07, 125/08, 36/09, 150/11, 144/12, 19/13, 1357/15, 123/17, 98/19 </w:t>
      </w:r>
      <w:proofErr w:type="spellStart"/>
      <w:r w:rsidRPr="00D62247">
        <w:rPr>
          <w:sz w:val="24"/>
          <w:szCs w:val="24"/>
        </w:rPr>
        <w:t>i</w:t>
      </w:r>
      <w:proofErr w:type="spellEnd"/>
      <w:r w:rsidRPr="00D62247">
        <w:rPr>
          <w:sz w:val="24"/>
          <w:szCs w:val="24"/>
        </w:rPr>
        <w:t xml:space="preserve"> 144/20), </w:t>
      </w:r>
      <w:proofErr w:type="spellStart"/>
      <w:r w:rsidRPr="00D62247">
        <w:rPr>
          <w:sz w:val="24"/>
          <w:szCs w:val="24"/>
        </w:rPr>
        <w:t>članka</w:t>
      </w:r>
      <w:proofErr w:type="spellEnd"/>
      <w:r w:rsidRPr="00D62247">
        <w:rPr>
          <w:sz w:val="24"/>
          <w:szCs w:val="24"/>
        </w:rPr>
        <w:t xml:space="preserve"> 96. </w:t>
      </w:r>
      <w:proofErr w:type="spellStart"/>
      <w:r w:rsidRPr="00D62247">
        <w:rPr>
          <w:sz w:val="24"/>
          <w:szCs w:val="24"/>
        </w:rPr>
        <w:t>stavka</w:t>
      </w:r>
      <w:proofErr w:type="spellEnd"/>
      <w:r w:rsidRPr="00D62247">
        <w:rPr>
          <w:sz w:val="24"/>
          <w:szCs w:val="24"/>
        </w:rPr>
        <w:t xml:space="preserve"> 1. </w:t>
      </w:r>
      <w:proofErr w:type="spellStart"/>
      <w:r w:rsidRPr="00D62247">
        <w:rPr>
          <w:sz w:val="24"/>
          <w:szCs w:val="24"/>
        </w:rPr>
        <w:t>i</w:t>
      </w:r>
      <w:proofErr w:type="spellEnd"/>
      <w:r w:rsidRPr="00D62247">
        <w:rPr>
          <w:sz w:val="24"/>
          <w:szCs w:val="24"/>
        </w:rPr>
        <w:t xml:space="preserve"> 6.  </w:t>
      </w:r>
      <w:proofErr w:type="spellStart"/>
      <w:r w:rsidRPr="00D62247">
        <w:rPr>
          <w:sz w:val="24"/>
          <w:szCs w:val="24"/>
        </w:rPr>
        <w:t>Zakona</w:t>
      </w:r>
      <w:proofErr w:type="spellEnd"/>
      <w:r w:rsidRPr="00D62247">
        <w:rPr>
          <w:sz w:val="24"/>
          <w:szCs w:val="24"/>
        </w:rPr>
        <w:t xml:space="preserve"> o </w:t>
      </w:r>
      <w:proofErr w:type="spellStart"/>
      <w:r w:rsidRPr="00D62247">
        <w:rPr>
          <w:sz w:val="24"/>
          <w:szCs w:val="24"/>
        </w:rPr>
        <w:t>proračunu</w:t>
      </w:r>
      <w:proofErr w:type="spellEnd"/>
      <w:r w:rsidRPr="00D62247">
        <w:rPr>
          <w:sz w:val="24"/>
          <w:szCs w:val="24"/>
        </w:rPr>
        <w:t xml:space="preserve"> („</w:t>
      </w:r>
      <w:proofErr w:type="spellStart"/>
      <w:r w:rsidRPr="00D62247">
        <w:rPr>
          <w:sz w:val="24"/>
          <w:szCs w:val="24"/>
        </w:rPr>
        <w:t>Narodne</w:t>
      </w:r>
      <w:proofErr w:type="spellEnd"/>
      <w:r w:rsidRPr="00D62247">
        <w:rPr>
          <w:sz w:val="24"/>
          <w:szCs w:val="24"/>
        </w:rPr>
        <w:t xml:space="preserve"> </w:t>
      </w:r>
      <w:proofErr w:type="spellStart"/>
      <w:proofErr w:type="gramStart"/>
      <w:r w:rsidRPr="00D62247">
        <w:rPr>
          <w:sz w:val="24"/>
          <w:szCs w:val="24"/>
        </w:rPr>
        <w:t>novine</w:t>
      </w:r>
      <w:proofErr w:type="spellEnd"/>
      <w:r w:rsidRPr="00D62247">
        <w:rPr>
          <w:sz w:val="24"/>
          <w:szCs w:val="24"/>
        </w:rPr>
        <w:t xml:space="preserve">“ </w:t>
      </w:r>
      <w:proofErr w:type="spellStart"/>
      <w:r w:rsidRPr="00D62247">
        <w:rPr>
          <w:sz w:val="24"/>
          <w:szCs w:val="24"/>
        </w:rPr>
        <w:t>broj</w:t>
      </w:r>
      <w:proofErr w:type="spellEnd"/>
      <w:proofErr w:type="gramEnd"/>
      <w:r w:rsidRPr="00D62247">
        <w:rPr>
          <w:sz w:val="24"/>
          <w:szCs w:val="24"/>
        </w:rPr>
        <w:t xml:space="preserve"> 144/21)</w:t>
      </w:r>
      <w:r>
        <w:rPr>
          <w:sz w:val="24"/>
          <w:szCs w:val="24"/>
        </w:rPr>
        <w:t xml:space="preserve">, </w:t>
      </w:r>
      <w:proofErr w:type="spellStart"/>
      <w:r w:rsidRPr="00FB529A">
        <w:rPr>
          <w:color w:val="000000" w:themeColor="text1"/>
          <w:sz w:val="24"/>
          <w:szCs w:val="24"/>
        </w:rPr>
        <w:t>članka</w:t>
      </w:r>
      <w:proofErr w:type="spellEnd"/>
      <w:r w:rsidRPr="00FB529A">
        <w:rPr>
          <w:color w:val="000000" w:themeColor="text1"/>
          <w:sz w:val="24"/>
          <w:szCs w:val="24"/>
        </w:rPr>
        <w:t xml:space="preserve"> 117. </w:t>
      </w:r>
      <w:proofErr w:type="spellStart"/>
      <w:r w:rsidRPr="00FB529A">
        <w:rPr>
          <w:color w:val="000000" w:themeColor="text1"/>
          <w:sz w:val="24"/>
          <w:szCs w:val="24"/>
        </w:rPr>
        <w:t>Zakona</w:t>
      </w:r>
      <w:proofErr w:type="spellEnd"/>
      <w:r w:rsidRPr="00FB529A">
        <w:rPr>
          <w:color w:val="000000" w:themeColor="text1"/>
          <w:sz w:val="24"/>
          <w:szCs w:val="24"/>
        </w:rPr>
        <w:t xml:space="preserve"> o </w:t>
      </w:r>
      <w:proofErr w:type="spellStart"/>
      <w:r w:rsidRPr="00FB529A">
        <w:rPr>
          <w:color w:val="000000" w:themeColor="text1"/>
          <w:sz w:val="24"/>
          <w:szCs w:val="24"/>
        </w:rPr>
        <w:t>trgovačkim</w:t>
      </w:r>
      <w:proofErr w:type="spellEnd"/>
      <w:r w:rsidRPr="00FB529A">
        <w:rPr>
          <w:color w:val="000000" w:themeColor="text1"/>
          <w:sz w:val="24"/>
          <w:szCs w:val="24"/>
        </w:rPr>
        <w:t xml:space="preserve"> </w:t>
      </w:r>
      <w:proofErr w:type="spellStart"/>
      <w:r w:rsidRPr="00FB529A">
        <w:rPr>
          <w:color w:val="000000" w:themeColor="text1"/>
          <w:sz w:val="24"/>
          <w:szCs w:val="24"/>
        </w:rPr>
        <w:t>društvima</w:t>
      </w:r>
      <w:proofErr w:type="spellEnd"/>
      <w:r w:rsidRPr="00FB529A">
        <w:rPr>
          <w:color w:val="000000" w:themeColor="text1"/>
          <w:sz w:val="24"/>
          <w:szCs w:val="24"/>
        </w:rPr>
        <w:t xml:space="preserve"> </w:t>
      </w:r>
      <w:proofErr w:type="gramStart"/>
      <w:r w:rsidRPr="00FB529A">
        <w:rPr>
          <w:color w:val="000000" w:themeColor="text1"/>
          <w:sz w:val="24"/>
          <w:szCs w:val="24"/>
        </w:rPr>
        <w:t>(</w:t>
      </w:r>
      <w:r>
        <w:rPr>
          <w:color w:val="000000" w:themeColor="text1"/>
          <w:sz w:val="24"/>
          <w:szCs w:val="24"/>
        </w:rPr>
        <w:t>,,</w:t>
      </w:r>
      <w:proofErr w:type="spellStart"/>
      <w:proofErr w:type="gramEnd"/>
      <w:r w:rsidRPr="00FB529A">
        <w:rPr>
          <w:color w:val="000000" w:themeColor="text1"/>
          <w:sz w:val="24"/>
          <w:szCs w:val="24"/>
        </w:rPr>
        <w:t>Narodne</w:t>
      </w:r>
      <w:proofErr w:type="spellEnd"/>
      <w:r w:rsidRPr="00FB529A">
        <w:rPr>
          <w:color w:val="000000" w:themeColor="text1"/>
          <w:sz w:val="24"/>
          <w:szCs w:val="24"/>
        </w:rPr>
        <w:t xml:space="preserve"> </w:t>
      </w:r>
      <w:proofErr w:type="spellStart"/>
      <w:r w:rsidRPr="00FB529A">
        <w:rPr>
          <w:color w:val="000000" w:themeColor="text1"/>
          <w:sz w:val="24"/>
          <w:szCs w:val="24"/>
        </w:rPr>
        <w:t>novine</w:t>
      </w:r>
      <w:proofErr w:type="spellEnd"/>
      <w:r w:rsidRPr="00FB529A">
        <w:rPr>
          <w:color w:val="000000" w:themeColor="text1"/>
          <w:sz w:val="24"/>
          <w:szCs w:val="24"/>
        </w:rPr>
        <w:t xml:space="preserve">” </w:t>
      </w:r>
      <w:proofErr w:type="spellStart"/>
      <w:r w:rsidRPr="00FB529A">
        <w:rPr>
          <w:color w:val="000000" w:themeColor="text1"/>
          <w:sz w:val="24"/>
          <w:szCs w:val="24"/>
        </w:rPr>
        <w:t>broj</w:t>
      </w:r>
      <w:proofErr w:type="spellEnd"/>
      <w:r w:rsidRPr="00FB529A">
        <w:rPr>
          <w:color w:val="000000" w:themeColor="text1"/>
          <w:sz w:val="24"/>
          <w:szCs w:val="24"/>
        </w:rPr>
        <w:t xml:space="preserve"> 111/93, 34/99, 121/99, 52/00, 118/03, 107/07, 146/08, 137/09, </w:t>
      </w:r>
      <w:r>
        <w:rPr>
          <w:sz w:val="24"/>
          <w:szCs w:val="24"/>
        </w:rPr>
        <w:t>111/12, 125/11, 68/13, 110/15, 40/19, 34/22, 114/22, 18/23, 130/23)</w:t>
      </w:r>
      <w:r w:rsidRPr="00C64470">
        <w:rPr>
          <w:color w:val="FF0000"/>
          <w:sz w:val="24"/>
          <w:szCs w:val="24"/>
        </w:rPr>
        <w:t xml:space="preserve"> </w:t>
      </w:r>
      <w:r w:rsidRPr="00D62247">
        <w:rPr>
          <w:sz w:val="24"/>
          <w:szCs w:val="24"/>
        </w:rPr>
        <w:t xml:space="preserve"> </w:t>
      </w:r>
      <w:proofErr w:type="spellStart"/>
      <w:r w:rsidRPr="00D62247">
        <w:rPr>
          <w:sz w:val="24"/>
          <w:szCs w:val="24"/>
        </w:rPr>
        <w:t>i</w:t>
      </w:r>
      <w:proofErr w:type="spellEnd"/>
      <w:r w:rsidRPr="00D62247">
        <w:rPr>
          <w:sz w:val="24"/>
          <w:szCs w:val="24"/>
        </w:rPr>
        <w:t xml:space="preserve"> </w:t>
      </w:r>
      <w:proofErr w:type="spellStart"/>
      <w:r w:rsidRPr="00D62247">
        <w:rPr>
          <w:sz w:val="24"/>
          <w:szCs w:val="24"/>
        </w:rPr>
        <w:t>članka</w:t>
      </w:r>
      <w:proofErr w:type="spellEnd"/>
      <w:r w:rsidRPr="00D62247">
        <w:rPr>
          <w:sz w:val="24"/>
          <w:szCs w:val="24"/>
        </w:rPr>
        <w:t xml:space="preserve"> 83. </w:t>
      </w:r>
      <w:proofErr w:type="spellStart"/>
      <w:r w:rsidRPr="00D62247">
        <w:rPr>
          <w:sz w:val="24"/>
          <w:szCs w:val="24"/>
        </w:rPr>
        <w:t>Statuta</w:t>
      </w:r>
      <w:proofErr w:type="spellEnd"/>
      <w:r w:rsidRPr="00D62247">
        <w:rPr>
          <w:sz w:val="24"/>
          <w:szCs w:val="24"/>
        </w:rPr>
        <w:t xml:space="preserve"> </w:t>
      </w:r>
      <w:proofErr w:type="spellStart"/>
      <w:r w:rsidRPr="00D62247">
        <w:rPr>
          <w:sz w:val="24"/>
          <w:szCs w:val="24"/>
        </w:rPr>
        <w:t>Grada</w:t>
      </w:r>
      <w:proofErr w:type="spellEnd"/>
      <w:r w:rsidRPr="00D62247">
        <w:rPr>
          <w:sz w:val="24"/>
          <w:szCs w:val="24"/>
        </w:rPr>
        <w:t xml:space="preserve"> </w:t>
      </w:r>
      <w:proofErr w:type="spellStart"/>
      <w:r w:rsidRPr="00D62247">
        <w:rPr>
          <w:sz w:val="24"/>
          <w:szCs w:val="24"/>
        </w:rPr>
        <w:t>Poreča</w:t>
      </w:r>
      <w:proofErr w:type="spellEnd"/>
      <w:r w:rsidRPr="00D62247">
        <w:rPr>
          <w:sz w:val="24"/>
          <w:szCs w:val="24"/>
        </w:rPr>
        <w:t>-Parenzo („</w:t>
      </w:r>
      <w:proofErr w:type="spellStart"/>
      <w:r w:rsidRPr="00D62247">
        <w:rPr>
          <w:sz w:val="24"/>
          <w:szCs w:val="24"/>
        </w:rPr>
        <w:t>Službeni</w:t>
      </w:r>
      <w:proofErr w:type="spellEnd"/>
      <w:r w:rsidRPr="00D62247">
        <w:rPr>
          <w:sz w:val="24"/>
          <w:szCs w:val="24"/>
        </w:rPr>
        <w:t xml:space="preserve"> </w:t>
      </w:r>
      <w:proofErr w:type="spellStart"/>
      <w:r w:rsidRPr="00D62247">
        <w:rPr>
          <w:sz w:val="24"/>
          <w:szCs w:val="24"/>
        </w:rPr>
        <w:t>glasnik</w:t>
      </w:r>
      <w:proofErr w:type="spellEnd"/>
      <w:r w:rsidRPr="00D62247">
        <w:rPr>
          <w:sz w:val="24"/>
          <w:szCs w:val="24"/>
        </w:rPr>
        <w:t xml:space="preserve"> </w:t>
      </w:r>
      <w:proofErr w:type="spellStart"/>
      <w:r w:rsidRPr="00D62247">
        <w:rPr>
          <w:sz w:val="24"/>
          <w:szCs w:val="24"/>
        </w:rPr>
        <w:t>Grada</w:t>
      </w:r>
      <w:proofErr w:type="spellEnd"/>
      <w:r w:rsidRPr="00D62247">
        <w:rPr>
          <w:sz w:val="24"/>
          <w:szCs w:val="24"/>
        </w:rPr>
        <w:t xml:space="preserve"> </w:t>
      </w:r>
      <w:proofErr w:type="spellStart"/>
      <w:proofErr w:type="gramStart"/>
      <w:r w:rsidRPr="00D62247">
        <w:rPr>
          <w:sz w:val="24"/>
          <w:szCs w:val="24"/>
        </w:rPr>
        <w:t>Poreča</w:t>
      </w:r>
      <w:proofErr w:type="spellEnd"/>
      <w:r w:rsidRPr="00D62247">
        <w:rPr>
          <w:sz w:val="24"/>
          <w:szCs w:val="24"/>
        </w:rPr>
        <w:t xml:space="preserve">“ </w:t>
      </w:r>
      <w:proofErr w:type="spellStart"/>
      <w:r w:rsidRPr="00D62247">
        <w:rPr>
          <w:sz w:val="24"/>
          <w:szCs w:val="24"/>
        </w:rPr>
        <w:t>broj</w:t>
      </w:r>
      <w:proofErr w:type="spellEnd"/>
      <w:proofErr w:type="gramEnd"/>
      <w:r w:rsidRPr="00D62247">
        <w:rPr>
          <w:sz w:val="24"/>
          <w:szCs w:val="24"/>
        </w:rPr>
        <w:t xml:space="preserve"> 2/13, 10/18, 2/21 </w:t>
      </w:r>
      <w:proofErr w:type="spellStart"/>
      <w:r w:rsidRPr="00D62247">
        <w:rPr>
          <w:sz w:val="24"/>
          <w:szCs w:val="24"/>
        </w:rPr>
        <w:t>i</w:t>
      </w:r>
      <w:proofErr w:type="spellEnd"/>
      <w:r w:rsidRPr="00D62247">
        <w:rPr>
          <w:sz w:val="24"/>
          <w:szCs w:val="24"/>
        </w:rPr>
        <w:t xml:space="preserve"> 12/24) </w:t>
      </w:r>
      <w:proofErr w:type="spellStart"/>
      <w:r w:rsidRPr="00D62247">
        <w:rPr>
          <w:sz w:val="24"/>
          <w:szCs w:val="24"/>
        </w:rPr>
        <w:t>Gradsko</w:t>
      </w:r>
      <w:proofErr w:type="spellEnd"/>
      <w:r w:rsidRPr="00D62247">
        <w:rPr>
          <w:sz w:val="24"/>
          <w:szCs w:val="24"/>
        </w:rPr>
        <w:t xml:space="preserve"> </w:t>
      </w:r>
      <w:proofErr w:type="spellStart"/>
      <w:r w:rsidRPr="00D62247">
        <w:rPr>
          <w:sz w:val="24"/>
          <w:szCs w:val="24"/>
        </w:rPr>
        <w:t>vijeće</w:t>
      </w:r>
      <w:proofErr w:type="spellEnd"/>
      <w:r w:rsidRPr="00D62247">
        <w:rPr>
          <w:sz w:val="24"/>
          <w:szCs w:val="24"/>
        </w:rPr>
        <w:t xml:space="preserve"> </w:t>
      </w:r>
      <w:proofErr w:type="spellStart"/>
      <w:r w:rsidRPr="00D62247">
        <w:rPr>
          <w:sz w:val="24"/>
          <w:szCs w:val="24"/>
        </w:rPr>
        <w:t>Grada</w:t>
      </w:r>
      <w:proofErr w:type="spellEnd"/>
      <w:r w:rsidRPr="00D62247">
        <w:rPr>
          <w:sz w:val="24"/>
          <w:szCs w:val="24"/>
        </w:rPr>
        <w:t xml:space="preserve"> </w:t>
      </w:r>
      <w:proofErr w:type="spellStart"/>
      <w:r w:rsidRPr="00D62247">
        <w:rPr>
          <w:sz w:val="24"/>
          <w:szCs w:val="24"/>
        </w:rPr>
        <w:t>Poreča</w:t>
      </w:r>
      <w:proofErr w:type="spellEnd"/>
      <w:r w:rsidRPr="00D62247">
        <w:rPr>
          <w:sz w:val="24"/>
          <w:szCs w:val="24"/>
        </w:rPr>
        <w:t xml:space="preserve">-Parenzo </w:t>
      </w:r>
      <w:r>
        <w:rPr>
          <w:sz w:val="24"/>
          <w:szCs w:val="24"/>
        </w:rPr>
        <w:t>je</w:t>
      </w:r>
      <w:r w:rsidRPr="00D62247">
        <w:rPr>
          <w:sz w:val="24"/>
          <w:szCs w:val="24"/>
        </w:rPr>
        <w:t xml:space="preserve"> ... </w:t>
      </w:r>
      <w:proofErr w:type="spellStart"/>
      <w:r w:rsidRPr="00D62247">
        <w:rPr>
          <w:sz w:val="24"/>
          <w:szCs w:val="24"/>
        </w:rPr>
        <w:t>rujna</w:t>
      </w:r>
      <w:proofErr w:type="spellEnd"/>
      <w:r w:rsidRPr="00D62247">
        <w:rPr>
          <w:sz w:val="24"/>
          <w:szCs w:val="24"/>
        </w:rPr>
        <w:t xml:space="preserve"> 2024. </w:t>
      </w:r>
      <w:proofErr w:type="spellStart"/>
      <w:proofErr w:type="gramStart"/>
      <w:r w:rsidRPr="00D62247">
        <w:rPr>
          <w:sz w:val="24"/>
          <w:szCs w:val="24"/>
        </w:rPr>
        <w:t>godine</w:t>
      </w:r>
      <w:proofErr w:type="spellEnd"/>
      <w:r w:rsidRPr="00D62247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donijelo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sljedeću</w:t>
      </w:r>
      <w:proofErr w:type="spellEnd"/>
    </w:p>
    <w:p w14:paraId="00BB9917" w14:textId="77777777" w:rsidR="00C1033D" w:rsidRPr="00225D0B" w:rsidRDefault="00C1033D" w:rsidP="00C1033D">
      <w:pPr>
        <w:autoSpaceDE w:val="0"/>
        <w:autoSpaceDN w:val="0"/>
        <w:adjustRightInd w:val="0"/>
        <w:jc w:val="both"/>
        <w:rPr>
          <w:sz w:val="24"/>
          <w:szCs w:val="24"/>
          <w:lang w:val="hr-HR"/>
        </w:rPr>
      </w:pPr>
    </w:p>
    <w:p w14:paraId="37ECADCB" w14:textId="77777777" w:rsidR="00C1033D" w:rsidRDefault="00C1033D" w:rsidP="00C1033D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hr-HR"/>
        </w:rPr>
      </w:pPr>
    </w:p>
    <w:p w14:paraId="0DD4258F" w14:textId="77777777" w:rsidR="00C1033D" w:rsidRPr="00467B88" w:rsidRDefault="00C1033D" w:rsidP="00C1033D">
      <w:pPr>
        <w:spacing w:line="276" w:lineRule="auto"/>
        <w:jc w:val="center"/>
        <w:rPr>
          <w:rFonts w:eastAsiaTheme="minorHAnsi"/>
          <w:b/>
          <w:bCs/>
          <w:kern w:val="2"/>
          <w:sz w:val="24"/>
          <w:szCs w:val="24"/>
          <w:lang w:val="hr-HR" w:eastAsia="en-US"/>
          <w14:ligatures w14:val="standardContextual"/>
        </w:rPr>
      </w:pPr>
      <w:r w:rsidRPr="00467B88">
        <w:rPr>
          <w:rFonts w:eastAsiaTheme="minorHAnsi"/>
          <w:b/>
          <w:bCs/>
          <w:kern w:val="2"/>
          <w:sz w:val="24"/>
          <w:szCs w:val="24"/>
          <w:lang w:val="hr-HR" w:eastAsia="en-US"/>
          <w14:ligatures w14:val="standardContextual"/>
        </w:rPr>
        <w:t>O D L U K A</w:t>
      </w:r>
    </w:p>
    <w:p w14:paraId="1EB1919A" w14:textId="77777777" w:rsidR="00C1033D" w:rsidRPr="00467B88" w:rsidRDefault="00C1033D" w:rsidP="00C1033D">
      <w:pPr>
        <w:spacing w:line="276" w:lineRule="auto"/>
        <w:jc w:val="center"/>
        <w:rPr>
          <w:rFonts w:eastAsiaTheme="minorHAnsi"/>
          <w:b/>
          <w:bCs/>
          <w:kern w:val="2"/>
          <w:sz w:val="24"/>
          <w:szCs w:val="24"/>
          <w:lang w:val="hr-HR" w:eastAsia="en-US"/>
          <w14:ligatures w14:val="standardContextual"/>
        </w:rPr>
      </w:pPr>
      <w:r w:rsidRPr="00467B88">
        <w:rPr>
          <w:rFonts w:eastAsiaTheme="minorHAnsi"/>
          <w:b/>
          <w:bCs/>
          <w:kern w:val="2"/>
          <w:sz w:val="24"/>
          <w:szCs w:val="24"/>
          <w:lang w:val="hr-HR" w:eastAsia="en-US"/>
          <w14:ligatures w14:val="standardContextual"/>
        </w:rPr>
        <w:t xml:space="preserve">o usklađenju temeljnog kapitala </w:t>
      </w:r>
      <w:r>
        <w:rPr>
          <w:rFonts w:eastAsiaTheme="minorHAnsi"/>
          <w:b/>
          <w:bCs/>
          <w:kern w:val="2"/>
          <w:sz w:val="24"/>
          <w:szCs w:val="24"/>
          <w:lang w:val="hr-HR" w:eastAsia="en-US"/>
          <w14:ligatures w14:val="standardContextual"/>
        </w:rPr>
        <w:t xml:space="preserve">trgovačkog </w:t>
      </w:r>
      <w:r w:rsidRPr="00467B88">
        <w:rPr>
          <w:rFonts w:eastAsiaTheme="minorHAnsi"/>
          <w:b/>
          <w:bCs/>
          <w:kern w:val="2"/>
          <w:sz w:val="24"/>
          <w:szCs w:val="24"/>
          <w:lang w:val="hr-HR" w:eastAsia="en-US"/>
          <w14:ligatures w14:val="standardContextual"/>
        </w:rPr>
        <w:t>društva DOM POREČ d.o.o.</w:t>
      </w:r>
    </w:p>
    <w:p w14:paraId="1D2B92B2" w14:textId="77777777" w:rsidR="00C1033D" w:rsidRPr="00467B88" w:rsidRDefault="00C1033D" w:rsidP="00C1033D">
      <w:pPr>
        <w:spacing w:line="276" w:lineRule="auto"/>
        <w:jc w:val="center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</w:p>
    <w:p w14:paraId="2BA770A9" w14:textId="77777777" w:rsidR="00C1033D" w:rsidRPr="00C1033D" w:rsidRDefault="00C1033D" w:rsidP="00C1033D">
      <w:pPr>
        <w:spacing w:line="276" w:lineRule="auto"/>
        <w:jc w:val="center"/>
        <w:rPr>
          <w:rFonts w:eastAsiaTheme="minorHAnsi"/>
          <w:b/>
          <w:bCs/>
          <w:kern w:val="2"/>
          <w:sz w:val="24"/>
          <w:szCs w:val="24"/>
          <w:lang w:val="hr-HR" w:eastAsia="en-US"/>
          <w14:ligatures w14:val="standardContextual"/>
        </w:rPr>
      </w:pPr>
      <w:r w:rsidRPr="00C1033D">
        <w:rPr>
          <w:rFonts w:eastAsiaTheme="minorHAnsi"/>
          <w:b/>
          <w:bCs/>
          <w:kern w:val="2"/>
          <w:sz w:val="24"/>
          <w:szCs w:val="24"/>
          <w:lang w:val="hr-HR" w:eastAsia="en-US"/>
          <w14:ligatures w14:val="standardContextual"/>
        </w:rPr>
        <w:t>Članak 1.</w:t>
      </w:r>
    </w:p>
    <w:p w14:paraId="5199CD7F" w14:textId="77777777" w:rsidR="00C1033D" w:rsidRPr="00467B88" w:rsidRDefault="00C1033D" w:rsidP="00C1033D">
      <w:pPr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  <w:r w:rsidRPr="00467B88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Ovom Odlukom član društva Grad Poreč-Parenzo usklađuje temeljni kapital u trgovačkom društvu DOM POREČ d.o.o. sa sjedištem u: Poreč-Parenzo, Pionirska 1 upisano u sudski registar Trgovačkog suda u Pazinu sa matičnim brojem subjekta upisa MBS: 040182355, EUID: HRSR. 040182355, OIB:76635951646 (u daljnjem tekstu: Društvo), sukladno važećem Zakonu o trgovačkim društvima, budući da je novo platežno sredstvo u Republici Hrvatskoj EUR, tako da usklađuje nominalni iznos temeljnog kapitala koji je u kunama iznosio 40.764.100,00 kn (četrdeset milijuna sedamsto šezdeset četiri tisuće sto kuna) uplaćen u cijelosti koji iznos preračunat u valutu EUR iznosi 5.410.325,83 EUR (pet milijuna četiristo deset tisuća tristo dvadeset pet eura i osamdeset tri </w:t>
      </w:r>
      <w:proofErr w:type="spellStart"/>
      <w:r w:rsidRPr="00467B88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eurocenta</w:t>
      </w:r>
      <w:proofErr w:type="spellEnd"/>
      <w:r w:rsidRPr="00467B88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) (prema fiksnom tečaju konverzije 7.53450). Ovom Odlukom temeljni kapital Društva usklađuje se smanjenjem i unosom u rezerve kapitala i to:</w:t>
      </w:r>
    </w:p>
    <w:p w14:paraId="146D73A1" w14:textId="77777777" w:rsidR="00C1033D" w:rsidRPr="00467B88" w:rsidRDefault="00C1033D" w:rsidP="00C1033D">
      <w:pPr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  <w:r w:rsidRPr="00467B88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sa: =  5.410.325,83 EUR (pet milijuna četiristo deset tisuća tristo dvadeset pet eura i osamdeset tri </w:t>
      </w:r>
      <w:proofErr w:type="spellStart"/>
      <w:r w:rsidRPr="00467B88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eurocenta</w:t>
      </w:r>
      <w:proofErr w:type="spellEnd"/>
      <w:r w:rsidRPr="00467B88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)</w:t>
      </w:r>
    </w:p>
    <w:p w14:paraId="45F9AFF2" w14:textId="77777777" w:rsidR="00C1033D" w:rsidRPr="00467B88" w:rsidRDefault="00C1033D" w:rsidP="00C1033D">
      <w:pPr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  <w:r w:rsidRPr="00467B88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za: =      15,83 EUR (petnaest eura osamdeset tri </w:t>
      </w:r>
      <w:proofErr w:type="spellStart"/>
      <w:r w:rsidRPr="00467B88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eurocenta</w:t>
      </w:r>
      <w:proofErr w:type="spellEnd"/>
      <w:r w:rsidRPr="00467B88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) </w:t>
      </w:r>
    </w:p>
    <w:p w14:paraId="16DFA332" w14:textId="77777777" w:rsidR="00C1033D" w:rsidRPr="00467B88" w:rsidRDefault="00C1033D" w:rsidP="00C1033D">
      <w:pPr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  <w:r w:rsidRPr="00467B88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na: =  5.410.310,00 EUR (pet milijuna četiristo deset tisuća tristo deset eura) </w:t>
      </w:r>
    </w:p>
    <w:p w14:paraId="1C846532" w14:textId="77777777" w:rsidR="00C1033D" w:rsidRPr="00467B88" w:rsidRDefault="00C1033D" w:rsidP="00C1033D">
      <w:pPr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  <w:r w:rsidRPr="00467B88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dok se iznos od 15,83 EUR (petnaest eura osamdeset tri </w:t>
      </w:r>
      <w:proofErr w:type="spellStart"/>
      <w:r w:rsidRPr="00467B88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eurocenta</w:t>
      </w:r>
      <w:proofErr w:type="spellEnd"/>
      <w:r w:rsidRPr="00467B88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) za koji je smanjen temeljni kapital unosi u rezerve kapitala </w:t>
      </w:r>
    </w:p>
    <w:p w14:paraId="1E2AF334" w14:textId="77777777" w:rsidR="00C1033D" w:rsidRPr="00467B88" w:rsidRDefault="00C1033D" w:rsidP="00C1033D">
      <w:pPr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  <w:r w:rsidRPr="00467B88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te ujedno član Društva usklađuje nominalne iznose poslovnih udjela koji su u kunama iznosili: </w:t>
      </w:r>
    </w:p>
    <w:p w14:paraId="70C0C2AB" w14:textId="77777777" w:rsidR="00C1033D" w:rsidRPr="00467B88" w:rsidRDefault="00C1033D" w:rsidP="00C1033D">
      <w:pPr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  <w:r w:rsidRPr="00467B88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- 1 (jedan) poslovni udio, preuzeti poslovni udio u nominalnom iznosu od 33.073.500,00 kn (trideset tri milijuna </w:t>
      </w:r>
      <w:proofErr w:type="spellStart"/>
      <w:r w:rsidRPr="00467B88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sedamdesettri</w:t>
      </w:r>
      <w:proofErr w:type="spellEnd"/>
      <w:r w:rsidRPr="00467B88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 tisuće petsto kuna), za kojeg je ulog uplaćen u cijelosti, </w:t>
      </w:r>
    </w:p>
    <w:p w14:paraId="2DF8FD7A" w14:textId="77777777" w:rsidR="00C1033D" w:rsidRPr="00467B88" w:rsidRDefault="00C1033D" w:rsidP="00C1033D">
      <w:pPr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  <w:r w:rsidRPr="00467B88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lastRenderedPageBreak/>
        <w:t xml:space="preserve">- 1 (jedan) poslovni udio, preuzeti poslovni udio u nominalnom iznosu od 7.690.600,00 kn (sedam milijuna šesto devedeset tisuća šesto kuna), za kojeg je ulog uplaćen u cijelosti </w:t>
      </w:r>
    </w:p>
    <w:p w14:paraId="442105C4" w14:textId="77777777" w:rsidR="00C1033D" w:rsidRPr="00467B88" w:rsidRDefault="00C1033D" w:rsidP="00C1033D">
      <w:pPr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  <w:r w:rsidRPr="00467B88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te koji se prema fiksnom tečaju konverzije od 7.53450 preračunavaju u valutu EUR, na način da sada iznose: </w:t>
      </w:r>
    </w:p>
    <w:p w14:paraId="41E6FEE1" w14:textId="77777777" w:rsidR="00C1033D" w:rsidRPr="00467B88" w:rsidRDefault="00C1033D" w:rsidP="00C1033D">
      <w:pPr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  <w:r w:rsidRPr="00467B88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- 1 (jedan) poslovni udio, preuzeti poslovni udio u nominalnom iznosu od 4.389.607,80 EUR (četiri milijuna tristo osamdeset devet tisuća šesto sedam eura osamdeset euro centa), za kojeg je ulog uplaćen u cijelosti,</w:t>
      </w:r>
    </w:p>
    <w:p w14:paraId="55CCCCF0" w14:textId="77777777" w:rsidR="00C1033D" w:rsidRPr="00467B88" w:rsidRDefault="00C1033D" w:rsidP="00C1033D">
      <w:pPr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  <w:r w:rsidRPr="00467B88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-  1 (jedan) poslovni udio, preuzeti poslovni udio u nominalnom iznosu od 1.020.718,03 EUR (jedan milijun dvadeset tisuća </w:t>
      </w:r>
      <w:proofErr w:type="spellStart"/>
      <w:r w:rsidRPr="00467B88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sedamstoosamnaest</w:t>
      </w:r>
      <w:proofErr w:type="spellEnd"/>
      <w:r w:rsidRPr="00467B88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 eura tri euro centa), za kojeg je ulog uplaćen u cijelosti,</w:t>
      </w:r>
    </w:p>
    <w:p w14:paraId="2CDEECCE" w14:textId="77777777" w:rsidR="00C1033D" w:rsidRPr="00467B88" w:rsidRDefault="00C1033D" w:rsidP="00C1033D">
      <w:pPr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  <w:r w:rsidRPr="00467B88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te nadalje kako bi nominalni iznosi poslovnih udjela sukladno čl. 390. ZTD-a bili izraženi cijelim brojem koji je višekratnik broja deset, u svrhu usklađenja smanjuju se nominalni iznosi poslovnih udjela, i to na najbliži niži nominalni iznos poslovnog udjela koji je višekratnik broja deset, kako slijedi: </w:t>
      </w:r>
    </w:p>
    <w:p w14:paraId="7F2F5799" w14:textId="77777777" w:rsidR="00C1033D" w:rsidRPr="00467B88" w:rsidRDefault="00C1033D" w:rsidP="00C1033D">
      <w:pPr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  <w:r w:rsidRPr="00467B88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- 1 (jedan) poslovni udio, preuzeti poslovni udio u nominalnom iznosu od 4.389.607,80 EUR (četiri milijuna tristo osamdeset devet tisuća šesto sedam eura osamdeset euro centa), smanjuje   se za 7,80 EUR (sedam eura osamdeset </w:t>
      </w:r>
      <w:proofErr w:type="spellStart"/>
      <w:r w:rsidRPr="00467B88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eurocenta</w:t>
      </w:r>
      <w:proofErr w:type="spellEnd"/>
      <w:r w:rsidRPr="00467B88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) na 4.389.600,00 EUR (četiri milijuna tristo osamdeset devet tisuća šesto eura) te se označava s Red. br. 1., dok se iznos od 7,80 EUR (sedam eura osamdeset </w:t>
      </w:r>
      <w:proofErr w:type="spellStart"/>
      <w:r w:rsidRPr="00467B88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eurocenta</w:t>
      </w:r>
      <w:proofErr w:type="spellEnd"/>
      <w:r w:rsidRPr="00467B88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)  unosi u rezerve kapitala, </w:t>
      </w:r>
    </w:p>
    <w:p w14:paraId="564094B2" w14:textId="77777777" w:rsidR="00C1033D" w:rsidRPr="00467B88" w:rsidRDefault="00C1033D" w:rsidP="00C1033D">
      <w:pPr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  <w:r w:rsidRPr="00467B88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- 1 (jedan) poslovni udio preuzeti poslovni udio u nominalnom iznosu od 1.020.718,03 EUR (jedan milijun dvadeset tisuća </w:t>
      </w:r>
      <w:proofErr w:type="spellStart"/>
      <w:r w:rsidRPr="00467B88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sedamstoosamnaest</w:t>
      </w:r>
      <w:proofErr w:type="spellEnd"/>
      <w:r w:rsidRPr="00467B88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 eura tri euro centa) smanjuje se za 8,03 EUR (osam eura tri </w:t>
      </w:r>
      <w:proofErr w:type="spellStart"/>
      <w:r w:rsidRPr="00467B88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eurocenta</w:t>
      </w:r>
      <w:proofErr w:type="spellEnd"/>
      <w:r w:rsidRPr="00467B88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) na 1.020.710,00 EUR (jedan milijun dvadeset tisuća </w:t>
      </w:r>
      <w:proofErr w:type="spellStart"/>
      <w:r w:rsidRPr="00467B88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sedamstodeset</w:t>
      </w:r>
      <w:proofErr w:type="spellEnd"/>
      <w:r w:rsidRPr="00467B88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 eura) te se označava s Red. Br. 2., dok se iznos od 8,03 EUR (osam eura tri </w:t>
      </w:r>
      <w:proofErr w:type="spellStart"/>
      <w:r w:rsidRPr="00467B88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eurocenta</w:t>
      </w:r>
      <w:proofErr w:type="spellEnd"/>
      <w:r w:rsidRPr="00467B88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)  unosi u rezerve kapitala, tako da član Društva sada ima udjele kako slijedi:</w:t>
      </w:r>
    </w:p>
    <w:p w14:paraId="06956448" w14:textId="77777777" w:rsidR="00C1033D" w:rsidRPr="00467B88" w:rsidRDefault="00C1033D" w:rsidP="00C1033D">
      <w:pPr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  <w:r w:rsidRPr="00467B88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- 1 (jedan) poslovni udio i to Red. br. 1. preuzeti poslovni udio u nominalnom iznosu od 4.389.600,00 EUR (četiri milijuna tristo osamdeset devet tisuća šesto eura) za kojeg je ulog uplaćen u cijelosti u novcu, stvarima (nekretnini) i pravima ,</w:t>
      </w:r>
    </w:p>
    <w:p w14:paraId="2C34DC0C" w14:textId="77777777" w:rsidR="00C1033D" w:rsidRPr="00467B88" w:rsidRDefault="00C1033D" w:rsidP="00C1033D">
      <w:pPr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  <w:r w:rsidRPr="00467B88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- 1 (jedan) poslovni udio i to Red.br. 2. preuzeti poslovni udio u nominalnom iznosu od 1.020.710,00 EUR (jedan milijun dvadeset tisuća </w:t>
      </w:r>
      <w:proofErr w:type="spellStart"/>
      <w:r w:rsidRPr="00467B88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sedamstodeset</w:t>
      </w:r>
      <w:proofErr w:type="spellEnd"/>
      <w:r w:rsidRPr="00467B88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 eura) za kojeg je ulog uplaćen u cijelosti u novcu i stvarima (nekretnini).</w:t>
      </w:r>
    </w:p>
    <w:p w14:paraId="02EA938D" w14:textId="77777777" w:rsidR="00C1033D" w:rsidRPr="00467B88" w:rsidRDefault="00C1033D" w:rsidP="00C1033D">
      <w:pPr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  <w:r w:rsidRPr="00467B88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Ujedno mi, GRAD POREČ-PARENZO, izjavljujemo da preuzimamo oba gore opisana poslovna udjela u trgovačkom društvu DOM POREČ d.o.o.</w:t>
      </w:r>
    </w:p>
    <w:p w14:paraId="7C2B3DDE" w14:textId="77777777" w:rsidR="00C1033D" w:rsidRPr="00467B88" w:rsidRDefault="00C1033D" w:rsidP="00C1033D">
      <w:pPr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</w:p>
    <w:p w14:paraId="21F16FF4" w14:textId="77777777" w:rsidR="00C1033D" w:rsidRPr="00C1033D" w:rsidRDefault="00C1033D" w:rsidP="00C1033D">
      <w:pPr>
        <w:spacing w:line="276" w:lineRule="auto"/>
        <w:jc w:val="center"/>
        <w:rPr>
          <w:rFonts w:eastAsiaTheme="minorHAnsi"/>
          <w:b/>
          <w:bCs/>
          <w:kern w:val="2"/>
          <w:sz w:val="24"/>
          <w:szCs w:val="24"/>
          <w:lang w:val="hr-HR" w:eastAsia="en-US"/>
          <w14:ligatures w14:val="standardContextual"/>
        </w:rPr>
      </w:pPr>
      <w:r w:rsidRPr="00C1033D">
        <w:rPr>
          <w:rFonts w:eastAsiaTheme="minorHAnsi"/>
          <w:b/>
          <w:bCs/>
          <w:kern w:val="2"/>
          <w:sz w:val="24"/>
          <w:szCs w:val="24"/>
          <w:lang w:val="hr-HR" w:eastAsia="en-US"/>
          <w14:ligatures w14:val="standardContextual"/>
        </w:rPr>
        <w:t>Članak 2.</w:t>
      </w:r>
    </w:p>
    <w:p w14:paraId="4660A940" w14:textId="77777777" w:rsidR="00C1033D" w:rsidRPr="00467B88" w:rsidRDefault="00C1033D" w:rsidP="00C1033D">
      <w:pPr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  <w:r w:rsidRPr="00467B88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Zadužuje se i ovlašćuje Gradonačelnik Grada Poreča-Parenzo da, temeljem i sukladno ovoj Odluci, kod javnog bilježnika i drugih tijela po potrebi daje izjave i očitovanja za provedbu Odluke iz članka 1. ove Odluke. </w:t>
      </w:r>
    </w:p>
    <w:p w14:paraId="0549CC47" w14:textId="77777777" w:rsidR="00C1033D" w:rsidRPr="00467B88" w:rsidRDefault="00C1033D" w:rsidP="00C1033D">
      <w:pPr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</w:p>
    <w:p w14:paraId="7B2E72F7" w14:textId="77777777" w:rsidR="00C1033D" w:rsidRPr="00C1033D" w:rsidRDefault="00C1033D" w:rsidP="00C1033D">
      <w:pPr>
        <w:spacing w:line="276" w:lineRule="auto"/>
        <w:jc w:val="center"/>
        <w:rPr>
          <w:rFonts w:eastAsia="Calibri"/>
          <w:b/>
          <w:bCs/>
          <w:kern w:val="2"/>
          <w:sz w:val="24"/>
          <w:szCs w:val="24"/>
          <w:lang w:val="hr-HR" w:eastAsia="en-US"/>
          <w14:ligatures w14:val="standardContextual"/>
        </w:rPr>
      </w:pPr>
      <w:r w:rsidRPr="00C1033D">
        <w:rPr>
          <w:rFonts w:eastAsia="Calibri"/>
          <w:b/>
          <w:bCs/>
          <w:kern w:val="2"/>
          <w:sz w:val="24"/>
          <w:szCs w:val="24"/>
          <w:lang w:val="hr-HR" w:eastAsia="en-US"/>
          <w14:ligatures w14:val="standardContextual"/>
        </w:rPr>
        <w:t>Članak 3.</w:t>
      </w:r>
    </w:p>
    <w:p w14:paraId="3FFD7042" w14:textId="77777777" w:rsidR="00C1033D" w:rsidRDefault="00C1033D" w:rsidP="00C1033D">
      <w:pPr>
        <w:ind w:firstLine="709"/>
        <w:jc w:val="both"/>
        <w:rPr>
          <w:rFonts w:eastAsiaTheme="minorHAnsi"/>
          <w:sz w:val="24"/>
          <w:szCs w:val="24"/>
          <w:lang w:val="hr-HR" w:eastAsia="en-US"/>
        </w:rPr>
      </w:pPr>
      <w:r w:rsidRPr="00467B88">
        <w:rPr>
          <w:rFonts w:eastAsiaTheme="minorHAnsi"/>
          <w:sz w:val="24"/>
          <w:szCs w:val="24"/>
          <w:lang w:val="hr-HR" w:eastAsia="en-US"/>
        </w:rPr>
        <w:t>Ova Odluka objavit će se u „Službenom glasniku Grada Poreča-Parenzo“, a stupa na snagu prvog dana od dana objave.</w:t>
      </w:r>
    </w:p>
    <w:p w14:paraId="78C857A2" w14:textId="77777777" w:rsidR="00C1033D" w:rsidRDefault="00C1033D" w:rsidP="00C1033D">
      <w:pPr>
        <w:ind w:firstLine="709"/>
        <w:jc w:val="both"/>
        <w:rPr>
          <w:rFonts w:eastAsiaTheme="minorHAnsi"/>
          <w:sz w:val="24"/>
          <w:szCs w:val="24"/>
          <w:lang w:val="hr-HR" w:eastAsia="en-US"/>
        </w:rPr>
      </w:pPr>
    </w:p>
    <w:p w14:paraId="38D6E2E1" w14:textId="77777777" w:rsidR="00C1033D" w:rsidRPr="00E97074" w:rsidRDefault="00C1033D" w:rsidP="00C1033D">
      <w:pPr>
        <w:ind w:firstLine="709"/>
        <w:jc w:val="both"/>
        <w:rPr>
          <w:rFonts w:eastAsiaTheme="minorHAnsi"/>
          <w:b/>
          <w:bCs/>
          <w:sz w:val="24"/>
          <w:szCs w:val="24"/>
          <w:lang w:val="hr-HR" w:eastAsia="en-US"/>
        </w:rPr>
      </w:pPr>
    </w:p>
    <w:p w14:paraId="26CAA37D" w14:textId="77777777" w:rsidR="00C1033D" w:rsidRPr="00E97074" w:rsidRDefault="00C1033D" w:rsidP="00C1033D">
      <w:pPr>
        <w:rPr>
          <w:rFonts w:eastAsiaTheme="minorHAnsi"/>
          <w:b/>
          <w:bCs/>
          <w:sz w:val="24"/>
          <w:szCs w:val="24"/>
          <w:lang w:val="hr-HR" w:eastAsia="en-US"/>
        </w:rPr>
      </w:pPr>
      <w:r w:rsidRPr="00E97074">
        <w:rPr>
          <w:rFonts w:eastAsiaTheme="minorHAnsi"/>
          <w:sz w:val="24"/>
          <w:szCs w:val="24"/>
          <w:lang w:val="hr-HR" w:eastAsia="en-US"/>
        </w:rPr>
        <w:tab/>
      </w:r>
      <w:r w:rsidRPr="00E97074">
        <w:rPr>
          <w:rFonts w:eastAsiaTheme="minorHAnsi"/>
          <w:sz w:val="24"/>
          <w:szCs w:val="24"/>
          <w:lang w:val="hr-HR" w:eastAsia="en-US"/>
        </w:rPr>
        <w:tab/>
        <w:t xml:space="preserve">                                                                                              </w:t>
      </w:r>
      <w:r w:rsidRPr="00E97074">
        <w:rPr>
          <w:rFonts w:eastAsiaTheme="minorHAnsi"/>
          <w:b/>
          <w:bCs/>
          <w:sz w:val="24"/>
          <w:szCs w:val="24"/>
          <w:lang w:val="hr-HR" w:eastAsia="en-US"/>
        </w:rPr>
        <w:t>PREDSJEDNIK</w:t>
      </w:r>
    </w:p>
    <w:p w14:paraId="46EEAC68" w14:textId="77777777" w:rsidR="00C1033D" w:rsidRPr="00E97074" w:rsidRDefault="00C1033D" w:rsidP="00C1033D">
      <w:pPr>
        <w:rPr>
          <w:rFonts w:eastAsiaTheme="minorHAnsi"/>
          <w:b/>
          <w:bCs/>
          <w:sz w:val="24"/>
          <w:szCs w:val="24"/>
          <w:lang w:val="hr-HR" w:eastAsia="en-US"/>
        </w:rPr>
      </w:pPr>
      <w:r w:rsidRPr="00E97074">
        <w:rPr>
          <w:rFonts w:eastAsiaTheme="minorHAnsi"/>
          <w:b/>
          <w:bCs/>
          <w:sz w:val="24"/>
          <w:szCs w:val="24"/>
          <w:lang w:val="hr-HR" w:eastAsia="en-US"/>
        </w:rPr>
        <w:t xml:space="preserve">                                                                                                               GRADSKOG VIJEĆA</w:t>
      </w:r>
    </w:p>
    <w:p w14:paraId="4D58DBE3" w14:textId="77777777" w:rsidR="00C1033D" w:rsidRPr="00FC7831" w:rsidRDefault="00C1033D" w:rsidP="00C1033D">
      <w:pPr>
        <w:tabs>
          <w:tab w:val="left" w:pos="7136"/>
        </w:tabs>
        <w:spacing w:after="160" w:line="259" w:lineRule="auto"/>
        <w:rPr>
          <w:sz w:val="24"/>
          <w:szCs w:val="24"/>
          <w:lang w:val="hr-HR"/>
        </w:rPr>
      </w:pPr>
      <w:r w:rsidRPr="00E97074">
        <w:rPr>
          <w:rFonts w:asciiTheme="minorHAnsi" w:eastAsiaTheme="minorHAnsi" w:hAnsiTheme="minorHAnsi" w:cstheme="minorBidi"/>
          <w:b/>
          <w:bCs/>
          <w:sz w:val="22"/>
          <w:szCs w:val="22"/>
          <w:lang w:val="hr-HR" w:eastAsia="en-US"/>
        </w:rPr>
        <w:tab/>
        <w:t xml:space="preserve"> </w:t>
      </w:r>
      <w:r w:rsidRPr="00E97074">
        <w:rPr>
          <w:rFonts w:eastAsiaTheme="minorHAnsi"/>
          <w:b/>
          <w:bCs/>
          <w:sz w:val="24"/>
          <w:szCs w:val="24"/>
          <w:lang w:val="hr-HR" w:eastAsia="en-US"/>
        </w:rPr>
        <w:t>Zoran Rab</w:t>
      </w:r>
      <w:r>
        <w:rPr>
          <w:rFonts w:eastAsiaTheme="minorHAnsi"/>
          <w:b/>
          <w:bCs/>
          <w:sz w:val="24"/>
          <w:szCs w:val="24"/>
          <w:lang w:val="hr-HR" w:eastAsia="en-US"/>
        </w:rPr>
        <w:t>ar</w:t>
      </w:r>
    </w:p>
    <w:p w14:paraId="22D93074" w14:textId="77777777" w:rsidR="00C1033D" w:rsidRDefault="00C1033D" w:rsidP="00FB3671">
      <w:pPr>
        <w:rPr>
          <w:b/>
          <w:sz w:val="24"/>
          <w:szCs w:val="24"/>
        </w:rPr>
      </w:pPr>
    </w:p>
    <w:p w14:paraId="19847295" w14:textId="77777777" w:rsidR="00C1033D" w:rsidRDefault="00C1033D" w:rsidP="00FB3671">
      <w:pPr>
        <w:rPr>
          <w:b/>
          <w:sz w:val="24"/>
          <w:szCs w:val="24"/>
        </w:rPr>
      </w:pPr>
    </w:p>
    <w:p w14:paraId="4AEAB673" w14:textId="7AB554D5" w:rsidR="00FB3671" w:rsidRPr="00E6050A" w:rsidRDefault="00FB3671" w:rsidP="00C1033D">
      <w:pPr>
        <w:jc w:val="center"/>
        <w:rPr>
          <w:b/>
          <w:sz w:val="24"/>
          <w:szCs w:val="24"/>
        </w:rPr>
      </w:pPr>
      <w:r w:rsidRPr="00E6050A">
        <w:rPr>
          <w:b/>
          <w:sz w:val="24"/>
          <w:szCs w:val="24"/>
        </w:rPr>
        <w:t>OBRAZLOŽENJE</w:t>
      </w:r>
    </w:p>
    <w:p w14:paraId="29662BFA" w14:textId="77777777" w:rsidR="00FB3671" w:rsidRDefault="00FB3671" w:rsidP="00FB3671"/>
    <w:p w14:paraId="4FB1D343" w14:textId="77777777" w:rsidR="00FB3671" w:rsidRPr="00CA2C43" w:rsidRDefault="00FB3671" w:rsidP="00FB3671">
      <w:pPr>
        <w:tabs>
          <w:tab w:val="left" w:pos="993"/>
        </w:tabs>
        <w:rPr>
          <w:b/>
          <w:bCs/>
          <w:sz w:val="24"/>
          <w:szCs w:val="24"/>
          <w:lang w:val="hr-HR"/>
        </w:rPr>
      </w:pPr>
      <w:r w:rsidRPr="00CA2C43">
        <w:rPr>
          <w:b/>
          <w:bCs/>
          <w:sz w:val="24"/>
          <w:szCs w:val="24"/>
          <w:lang w:val="hr-HR"/>
        </w:rPr>
        <w:t>Pravna osnova:</w:t>
      </w:r>
    </w:p>
    <w:p w14:paraId="74028914" w14:textId="566BF6D7" w:rsidR="00FB3671" w:rsidRPr="00316E1E" w:rsidRDefault="00FB3671" w:rsidP="00FB3671">
      <w:pPr>
        <w:spacing w:line="276" w:lineRule="auto"/>
        <w:jc w:val="both"/>
        <w:rPr>
          <w:sz w:val="24"/>
          <w:szCs w:val="24"/>
          <w:lang w:val="hr-HR"/>
        </w:rPr>
      </w:pPr>
      <w:bookmarkStart w:id="0" w:name="_Hlk176767012"/>
      <w:r w:rsidRPr="00316E1E">
        <w:rPr>
          <w:sz w:val="24"/>
          <w:szCs w:val="24"/>
          <w:lang w:val="hr-HR"/>
        </w:rPr>
        <w:t xml:space="preserve">Člankom 96. st. 1.  Zakona o proračunu (NN 141/21) propisano je kako Republika Hrvatska može stjecati dionice i udjele u kapitalu pravnih osoba iz sredstava proračuna i bez naknade. Stavkom 6. istog članka propisano je da se navedena odredba na odgovarajući način primjenjuje na jedinice lokalne i područne (regionalne) samouprave. </w:t>
      </w:r>
      <w:r>
        <w:rPr>
          <w:sz w:val="24"/>
          <w:szCs w:val="24"/>
          <w:lang w:val="hr-HR"/>
        </w:rPr>
        <w:t xml:space="preserve">Člankom 35. Zakona o lokalnoj </w:t>
      </w:r>
      <w:proofErr w:type="spellStart"/>
      <w:r w:rsidRPr="000969CA">
        <w:rPr>
          <w:sz w:val="24"/>
          <w:szCs w:val="24"/>
        </w:rPr>
        <w:t>i</w:t>
      </w:r>
      <w:proofErr w:type="spellEnd"/>
      <w:r w:rsidRPr="000969CA">
        <w:rPr>
          <w:sz w:val="24"/>
          <w:szCs w:val="24"/>
        </w:rPr>
        <w:t xml:space="preserve"> </w:t>
      </w:r>
      <w:proofErr w:type="spellStart"/>
      <w:r w:rsidRPr="000969CA">
        <w:rPr>
          <w:sz w:val="24"/>
          <w:szCs w:val="24"/>
        </w:rPr>
        <w:t>područnoj</w:t>
      </w:r>
      <w:proofErr w:type="spellEnd"/>
      <w:r w:rsidRPr="000969CA">
        <w:rPr>
          <w:sz w:val="24"/>
          <w:szCs w:val="24"/>
        </w:rPr>
        <w:t xml:space="preserve"> (</w:t>
      </w:r>
      <w:proofErr w:type="spellStart"/>
      <w:r w:rsidRPr="000969CA">
        <w:rPr>
          <w:sz w:val="24"/>
          <w:szCs w:val="24"/>
        </w:rPr>
        <w:t>regionalnoj</w:t>
      </w:r>
      <w:proofErr w:type="spellEnd"/>
      <w:r w:rsidRPr="000969CA">
        <w:rPr>
          <w:sz w:val="24"/>
          <w:szCs w:val="24"/>
        </w:rPr>
        <w:t xml:space="preserve">) </w:t>
      </w:r>
      <w:proofErr w:type="spellStart"/>
      <w:r w:rsidRPr="000969CA">
        <w:rPr>
          <w:sz w:val="24"/>
          <w:szCs w:val="24"/>
        </w:rPr>
        <w:t>samoupravi</w:t>
      </w:r>
      <w:proofErr w:type="spellEnd"/>
      <w:r w:rsidRPr="000969CA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 NN</w:t>
      </w:r>
      <w:r w:rsidRPr="000969CA">
        <w:rPr>
          <w:sz w:val="24"/>
          <w:szCs w:val="24"/>
        </w:rPr>
        <w:t xml:space="preserve"> </w:t>
      </w:r>
      <w:proofErr w:type="spellStart"/>
      <w:r w:rsidRPr="000969CA">
        <w:rPr>
          <w:sz w:val="24"/>
          <w:szCs w:val="24"/>
        </w:rPr>
        <w:t>broj</w:t>
      </w:r>
      <w:proofErr w:type="spellEnd"/>
      <w:r w:rsidRPr="000969CA">
        <w:rPr>
          <w:sz w:val="24"/>
          <w:szCs w:val="24"/>
        </w:rPr>
        <w:t xml:space="preserve"> 33/01, 30/01, 129/05, 109/07, 125/08, 36/09, 150/11, 144/12, 19/13, 1357/15, 123/17, 98/19 </w:t>
      </w:r>
      <w:proofErr w:type="spellStart"/>
      <w:r w:rsidRPr="000969CA">
        <w:rPr>
          <w:sz w:val="24"/>
          <w:szCs w:val="24"/>
        </w:rPr>
        <w:t>i</w:t>
      </w:r>
      <w:proofErr w:type="spellEnd"/>
      <w:r w:rsidRPr="000969CA">
        <w:rPr>
          <w:sz w:val="24"/>
          <w:szCs w:val="24"/>
        </w:rPr>
        <w:t xml:space="preserve"> 144/20)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propisane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ovlasti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predstavničkog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tijela</w:t>
      </w:r>
      <w:proofErr w:type="spellEnd"/>
      <w:r>
        <w:rPr>
          <w:sz w:val="24"/>
          <w:szCs w:val="24"/>
        </w:rPr>
        <w:t xml:space="preserve"> JLP (R )S,  </w:t>
      </w:r>
      <w:proofErr w:type="spellStart"/>
      <w:r>
        <w:rPr>
          <w:sz w:val="24"/>
          <w:szCs w:val="24"/>
        </w:rPr>
        <w:t>dok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člankom</w:t>
      </w:r>
      <w:proofErr w:type="spellEnd"/>
      <w:r>
        <w:rPr>
          <w:sz w:val="24"/>
          <w:szCs w:val="24"/>
        </w:rPr>
        <w:t xml:space="preserve"> 83. </w:t>
      </w:r>
      <w:proofErr w:type="spellStart"/>
      <w:r>
        <w:rPr>
          <w:sz w:val="24"/>
          <w:szCs w:val="24"/>
        </w:rPr>
        <w:t>Statuta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Poreča</w:t>
      </w:r>
      <w:proofErr w:type="spellEnd"/>
      <w:r>
        <w:rPr>
          <w:sz w:val="24"/>
          <w:szCs w:val="24"/>
        </w:rPr>
        <w:t xml:space="preserve">-Parenzo </w:t>
      </w:r>
      <w:r w:rsidRPr="00D62247">
        <w:rPr>
          <w:sz w:val="24"/>
          <w:szCs w:val="24"/>
        </w:rPr>
        <w:t>(„</w:t>
      </w:r>
      <w:proofErr w:type="spellStart"/>
      <w:r w:rsidRPr="00D62247">
        <w:rPr>
          <w:sz w:val="24"/>
          <w:szCs w:val="24"/>
        </w:rPr>
        <w:t>Službeni</w:t>
      </w:r>
      <w:proofErr w:type="spellEnd"/>
      <w:r w:rsidRPr="00D62247">
        <w:rPr>
          <w:sz w:val="24"/>
          <w:szCs w:val="24"/>
        </w:rPr>
        <w:t xml:space="preserve"> </w:t>
      </w:r>
      <w:proofErr w:type="spellStart"/>
      <w:r w:rsidRPr="00D62247">
        <w:rPr>
          <w:sz w:val="24"/>
          <w:szCs w:val="24"/>
        </w:rPr>
        <w:t>glasnik</w:t>
      </w:r>
      <w:proofErr w:type="spellEnd"/>
      <w:r w:rsidRPr="00D62247">
        <w:rPr>
          <w:sz w:val="24"/>
          <w:szCs w:val="24"/>
        </w:rPr>
        <w:t xml:space="preserve"> </w:t>
      </w:r>
      <w:proofErr w:type="spellStart"/>
      <w:r w:rsidRPr="00D62247">
        <w:rPr>
          <w:sz w:val="24"/>
          <w:szCs w:val="24"/>
        </w:rPr>
        <w:t>Grada</w:t>
      </w:r>
      <w:proofErr w:type="spellEnd"/>
      <w:r w:rsidRPr="00D62247">
        <w:rPr>
          <w:sz w:val="24"/>
          <w:szCs w:val="24"/>
        </w:rPr>
        <w:t xml:space="preserve"> </w:t>
      </w:r>
      <w:proofErr w:type="spellStart"/>
      <w:proofErr w:type="gramStart"/>
      <w:r w:rsidRPr="00D62247">
        <w:rPr>
          <w:sz w:val="24"/>
          <w:szCs w:val="24"/>
        </w:rPr>
        <w:t>Poreča“</w:t>
      </w:r>
      <w:proofErr w:type="gramEnd"/>
      <w:r w:rsidRPr="00D62247">
        <w:rPr>
          <w:sz w:val="24"/>
          <w:szCs w:val="24"/>
        </w:rPr>
        <w:t>broj</w:t>
      </w:r>
      <w:proofErr w:type="spellEnd"/>
      <w:r w:rsidRPr="00D62247">
        <w:rPr>
          <w:sz w:val="24"/>
          <w:szCs w:val="24"/>
        </w:rPr>
        <w:t xml:space="preserve"> 2/13, 10/18, 2/21 </w:t>
      </w:r>
      <w:proofErr w:type="spellStart"/>
      <w:r w:rsidRPr="00D62247">
        <w:rPr>
          <w:sz w:val="24"/>
          <w:szCs w:val="24"/>
        </w:rPr>
        <w:t>i</w:t>
      </w:r>
      <w:proofErr w:type="spellEnd"/>
      <w:r w:rsidRPr="00D62247">
        <w:rPr>
          <w:sz w:val="24"/>
          <w:szCs w:val="24"/>
        </w:rPr>
        <w:t xml:space="preserve"> 12/24)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određeno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Gradsko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vijeće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Poreča</w:t>
      </w:r>
      <w:proofErr w:type="spellEnd"/>
      <w:r>
        <w:rPr>
          <w:sz w:val="24"/>
          <w:szCs w:val="24"/>
        </w:rPr>
        <w:t xml:space="preserve">-Parenzo </w:t>
      </w:r>
      <w:proofErr w:type="spellStart"/>
      <w:r>
        <w:rPr>
          <w:sz w:val="24"/>
          <w:szCs w:val="24"/>
        </w:rPr>
        <w:t>donosi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pojedinačne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osnivanju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prestanku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trgovačkih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društava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vlasništvu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Grada</w:t>
      </w:r>
      <w:proofErr w:type="spellEnd"/>
      <w:r>
        <w:rPr>
          <w:sz w:val="24"/>
          <w:szCs w:val="24"/>
        </w:rPr>
        <w:t>.</w:t>
      </w:r>
    </w:p>
    <w:bookmarkEnd w:id="0"/>
    <w:p w14:paraId="2051B902" w14:textId="77777777" w:rsidR="00FB3671" w:rsidRPr="00CA2C43" w:rsidRDefault="00FB3671" w:rsidP="00FB3671">
      <w:pPr>
        <w:rPr>
          <w:color w:val="000000"/>
          <w:sz w:val="24"/>
          <w:szCs w:val="24"/>
          <w:lang w:val="hr-HR"/>
        </w:rPr>
      </w:pPr>
    </w:p>
    <w:p w14:paraId="7A333533" w14:textId="77777777" w:rsidR="00FB3671" w:rsidRPr="00CA2C43" w:rsidRDefault="00FB3671" w:rsidP="00FB3671">
      <w:pPr>
        <w:rPr>
          <w:b/>
          <w:color w:val="000000"/>
          <w:sz w:val="24"/>
          <w:szCs w:val="24"/>
          <w:lang w:val="hr-HR"/>
        </w:rPr>
      </w:pPr>
      <w:r>
        <w:rPr>
          <w:b/>
          <w:color w:val="000000"/>
          <w:sz w:val="24"/>
          <w:szCs w:val="24"/>
          <w:lang w:val="hr-HR"/>
        </w:rPr>
        <w:t>Ocjena stanja</w:t>
      </w:r>
      <w:r w:rsidRPr="00CA2C43">
        <w:rPr>
          <w:b/>
          <w:color w:val="000000"/>
          <w:sz w:val="24"/>
          <w:szCs w:val="24"/>
          <w:lang w:val="hr-HR"/>
        </w:rPr>
        <w:t>:</w:t>
      </w:r>
    </w:p>
    <w:p w14:paraId="198CDD91" w14:textId="77777777" w:rsidR="00FB3671" w:rsidRPr="00D0171E" w:rsidRDefault="00FB3671" w:rsidP="00FB3671">
      <w:pPr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  <w:r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Dom Poreč d.o.o. osnovan je temeljem rješenja Trgovačkog suda u Rijeci, Posl.br. Tt-03/890-2 od 04.04.2003. godine, sukladno Društvenom ugovoru od dana 30.12.2002. godine s temeljnim kapitalom od 660.000,00 kn. Odlukom članova društva, </w:t>
      </w:r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Grad</w:t>
      </w:r>
      <w:r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a</w:t>
      </w:r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 Poreč</w:t>
      </w:r>
      <w:r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a</w:t>
      </w:r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-Parenzo i Istarski</w:t>
      </w:r>
      <w:r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h</w:t>
      </w:r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 domov</w:t>
      </w:r>
      <w:r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a</w:t>
      </w:r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 zdravlja – </w:t>
      </w:r>
      <w:proofErr w:type="spellStart"/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Casa</w:t>
      </w:r>
      <w:proofErr w:type="spellEnd"/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 della </w:t>
      </w:r>
      <w:proofErr w:type="spellStart"/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salute</w:t>
      </w:r>
      <w:proofErr w:type="spellEnd"/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 </w:t>
      </w:r>
      <w:proofErr w:type="spellStart"/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dell</w:t>
      </w:r>
      <w:proofErr w:type="spellEnd"/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` </w:t>
      </w:r>
      <w:proofErr w:type="spellStart"/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Istria</w:t>
      </w:r>
      <w:proofErr w:type="spellEnd"/>
      <w:r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, d</w:t>
      </w:r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ana 21.10.2005. godine </w:t>
      </w:r>
      <w:r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izmijenjen je Društveni ugovor te je </w:t>
      </w:r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provedena dokapitalizacija društva što je rezultiralo </w:t>
      </w:r>
      <w:r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povećanjem temeljnog kapitala na iznos od 40.764.100,00 kn. Č</w:t>
      </w:r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lanovi društva</w:t>
      </w:r>
      <w:r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 su </w:t>
      </w:r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imatelji poslovnih udjela u društvu kako slijedi: Grad Poreč-Parenzo imatelj je poslovnog udjela nominalne vrijednosti 33.073.500,00 KN odnosno 81% udjela, a Istarski domovi zdravlja – </w:t>
      </w:r>
      <w:proofErr w:type="spellStart"/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Casa</w:t>
      </w:r>
      <w:proofErr w:type="spellEnd"/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 della </w:t>
      </w:r>
      <w:proofErr w:type="spellStart"/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salute</w:t>
      </w:r>
      <w:proofErr w:type="spellEnd"/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 </w:t>
      </w:r>
      <w:proofErr w:type="spellStart"/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dell</w:t>
      </w:r>
      <w:proofErr w:type="spellEnd"/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` </w:t>
      </w:r>
      <w:proofErr w:type="spellStart"/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Istria</w:t>
      </w:r>
      <w:proofErr w:type="spellEnd"/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 imatelj je poslovnog udjela nominalne vrijednosti 7.690.600,00 KN odnosno 19% udjela.</w:t>
      </w:r>
    </w:p>
    <w:p w14:paraId="4C1CB6DA" w14:textId="77777777" w:rsidR="00FB3671" w:rsidRPr="00D0171E" w:rsidRDefault="00FB3671" w:rsidP="00FB3671">
      <w:pPr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DOM POREČ d.o.o. osnovan je sa svrhom izgradnje Doma za starije i nemoćne osobe Poreč</w:t>
      </w:r>
      <w:r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 i</w:t>
      </w:r>
    </w:p>
    <w:p w14:paraId="049FA55C" w14:textId="77777777" w:rsidR="00FB3671" w:rsidRDefault="00FB3671" w:rsidP="00FB3671">
      <w:pPr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jedini je osnivač ustanove Dom za starije i nemoćne osobe Poreč.</w:t>
      </w:r>
    </w:p>
    <w:p w14:paraId="7B977DEE" w14:textId="77777777" w:rsidR="00FB3671" w:rsidRPr="00D0171E" w:rsidRDefault="00FB3671" w:rsidP="00FB3671">
      <w:pPr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  <w:r w:rsidRPr="00F906D0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U razdoblju od 2005. do 2007. godine Grad Poreč-Parenzo je izvršio uplate u korist trgovačkog društva u ukupnom iznosu od 3.600.000,00 kn u svrhu povećanja temeljnog kapitala, a koji postupak nije proveden sukladno odredbama Zakona o trgovačkim društvima (NN </w:t>
      </w:r>
      <w:hyperlink r:id="rId7" w:tgtFrame="_blank" w:history="1">
        <w:r w:rsidRPr="00F906D0">
          <w:rPr>
            <w:rStyle w:val="Hiperveza"/>
            <w:color w:val="auto"/>
            <w:sz w:val="24"/>
            <w:szCs w:val="24"/>
          </w:rPr>
          <w:t>111/93</w:t>
        </w:r>
      </w:hyperlink>
      <w:r w:rsidRPr="00F906D0">
        <w:rPr>
          <w:sz w:val="24"/>
          <w:szCs w:val="24"/>
        </w:rPr>
        <w:t>, </w:t>
      </w:r>
      <w:hyperlink r:id="rId8" w:tgtFrame="_blank" w:history="1">
        <w:r w:rsidRPr="00F906D0">
          <w:rPr>
            <w:rStyle w:val="Hiperveza"/>
            <w:color w:val="auto"/>
            <w:sz w:val="24"/>
            <w:szCs w:val="24"/>
          </w:rPr>
          <w:t>34/99</w:t>
        </w:r>
      </w:hyperlink>
      <w:r w:rsidRPr="00F906D0">
        <w:rPr>
          <w:sz w:val="24"/>
          <w:szCs w:val="24"/>
        </w:rPr>
        <w:t>, </w:t>
      </w:r>
      <w:hyperlink r:id="rId9" w:tgtFrame="_blank" w:history="1">
        <w:r w:rsidRPr="00F906D0">
          <w:rPr>
            <w:rStyle w:val="Hiperveza"/>
            <w:color w:val="auto"/>
            <w:sz w:val="24"/>
            <w:szCs w:val="24"/>
          </w:rPr>
          <w:t>121/99</w:t>
        </w:r>
      </w:hyperlink>
      <w:r w:rsidRPr="00F906D0">
        <w:rPr>
          <w:sz w:val="24"/>
          <w:szCs w:val="24"/>
        </w:rPr>
        <w:t>, </w:t>
      </w:r>
      <w:hyperlink r:id="rId10" w:tgtFrame="_blank" w:history="1">
        <w:r w:rsidRPr="00F906D0">
          <w:rPr>
            <w:rStyle w:val="Hiperveza"/>
            <w:color w:val="auto"/>
            <w:sz w:val="24"/>
            <w:szCs w:val="24"/>
          </w:rPr>
          <w:t>52/00</w:t>
        </w:r>
      </w:hyperlink>
      <w:r w:rsidRPr="00F906D0">
        <w:rPr>
          <w:sz w:val="24"/>
          <w:szCs w:val="24"/>
        </w:rPr>
        <w:t>, </w:t>
      </w:r>
      <w:hyperlink r:id="rId11" w:tgtFrame="_blank" w:history="1">
        <w:r w:rsidRPr="00F906D0">
          <w:rPr>
            <w:rStyle w:val="Hiperveza"/>
            <w:color w:val="auto"/>
            <w:sz w:val="24"/>
            <w:szCs w:val="24"/>
          </w:rPr>
          <w:t>118/03</w:t>
        </w:r>
      </w:hyperlink>
      <w:r w:rsidRPr="00F906D0">
        <w:rPr>
          <w:sz w:val="24"/>
          <w:szCs w:val="24"/>
        </w:rPr>
        <w:t>, </w:t>
      </w:r>
      <w:hyperlink r:id="rId12" w:tgtFrame="_blank" w:history="1">
        <w:r w:rsidRPr="00F906D0">
          <w:rPr>
            <w:rStyle w:val="Hiperveza"/>
            <w:color w:val="auto"/>
            <w:sz w:val="24"/>
            <w:szCs w:val="24"/>
          </w:rPr>
          <w:t>107/07</w:t>
        </w:r>
      </w:hyperlink>
      <w:r w:rsidRPr="00F906D0">
        <w:rPr>
          <w:sz w:val="24"/>
          <w:szCs w:val="24"/>
        </w:rPr>
        <w:t>, </w:t>
      </w:r>
      <w:hyperlink r:id="rId13" w:tgtFrame="_blank" w:history="1">
        <w:r w:rsidRPr="00F906D0">
          <w:rPr>
            <w:rStyle w:val="Hiperveza"/>
            <w:color w:val="auto"/>
            <w:sz w:val="24"/>
            <w:szCs w:val="24"/>
          </w:rPr>
          <w:t>146/08</w:t>
        </w:r>
      </w:hyperlink>
      <w:r w:rsidRPr="00F906D0">
        <w:rPr>
          <w:sz w:val="24"/>
          <w:szCs w:val="24"/>
        </w:rPr>
        <w:t>, </w:t>
      </w:r>
      <w:hyperlink r:id="rId14" w:tgtFrame="_blank" w:history="1">
        <w:r w:rsidRPr="00F906D0">
          <w:rPr>
            <w:rStyle w:val="Hiperveza"/>
            <w:color w:val="auto"/>
            <w:sz w:val="24"/>
            <w:szCs w:val="24"/>
          </w:rPr>
          <w:t>137/09</w:t>
        </w:r>
      </w:hyperlink>
      <w:r w:rsidRPr="00F906D0">
        <w:rPr>
          <w:sz w:val="24"/>
          <w:szCs w:val="24"/>
        </w:rPr>
        <w:t>, </w:t>
      </w:r>
      <w:hyperlink r:id="rId15" w:tgtFrame="_blank" w:history="1">
        <w:r w:rsidRPr="00F906D0">
          <w:rPr>
            <w:rStyle w:val="Hiperveza"/>
            <w:color w:val="auto"/>
            <w:sz w:val="24"/>
            <w:szCs w:val="24"/>
          </w:rPr>
          <w:t>125/11</w:t>
        </w:r>
      </w:hyperlink>
      <w:r w:rsidRPr="00F906D0">
        <w:rPr>
          <w:sz w:val="24"/>
          <w:szCs w:val="24"/>
        </w:rPr>
        <w:t>, </w:t>
      </w:r>
      <w:hyperlink r:id="rId16" w:tgtFrame="_blank" w:history="1">
        <w:r w:rsidRPr="00F906D0">
          <w:rPr>
            <w:rStyle w:val="Hiperveza"/>
            <w:color w:val="auto"/>
            <w:sz w:val="24"/>
            <w:szCs w:val="24"/>
          </w:rPr>
          <w:t>152/11</w:t>
        </w:r>
      </w:hyperlink>
      <w:r w:rsidRPr="00F906D0">
        <w:rPr>
          <w:sz w:val="24"/>
          <w:szCs w:val="24"/>
        </w:rPr>
        <w:t>, </w:t>
      </w:r>
      <w:hyperlink r:id="rId17" w:tgtFrame="_blank" w:history="1">
        <w:r w:rsidRPr="00F906D0">
          <w:rPr>
            <w:rStyle w:val="Hiperveza"/>
            <w:color w:val="auto"/>
            <w:sz w:val="24"/>
            <w:szCs w:val="24"/>
          </w:rPr>
          <w:t>111/12</w:t>
        </w:r>
      </w:hyperlink>
      <w:r w:rsidRPr="00F906D0">
        <w:rPr>
          <w:sz w:val="24"/>
          <w:szCs w:val="24"/>
        </w:rPr>
        <w:t>, </w:t>
      </w:r>
      <w:hyperlink r:id="rId18" w:tgtFrame="_blank" w:history="1">
        <w:r w:rsidRPr="00F906D0">
          <w:rPr>
            <w:rStyle w:val="Hiperveza"/>
            <w:color w:val="auto"/>
            <w:sz w:val="24"/>
            <w:szCs w:val="24"/>
          </w:rPr>
          <w:t>68/13</w:t>
        </w:r>
      </w:hyperlink>
      <w:r w:rsidRPr="00F906D0">
        <w:rPr>
          <w:sz w:val="24"/>
          <w:szCs w:val="24"/>
        </w:rPr>
        <w:t>, </w:t>
      </w:r>
      <w:hyperlink r:id="rId19" w:tgtFrame="_blank" w:history="1">
        <w:r w:rsidRPr="00F906D0">
          <w:rPr>
            <w:rStyle w:val="Hiperveza"/>
            <w:color w:val="auto"/>
            <w:sz w:val="24"/>
            <w:szCs w:val="24"/>
          </w:rPr>
          <w:t>110/15</w:t>
        </w:r>
      </w:hyperlink>
      <w:r w:rsidRPr="00F906D0">
        <w:rPr>
          <w:sz w:val="24"/>
          <w:szCs w:val="24"/>
        </w:rPr>
        <w:t>, </w:t>
      </w:r>
      <w:hyperlink r:id="rId20" w:tgtFrame="_blank" w:history="1">
        <w:r w:rsidRPr="00F906D0">
          <w:rPr>
            <w:rStyle w:val="Hiperveza"/>
            <w:color w:val="auto"/>
            <w:sz w:val="24"/>
            <w:szCs w:val="24"/>
          </w:rPr>
          <w:t>40/19</w:t>
        </w:r>
      </w:hyperlink>
      <w:r w:rsidRPr="00F906D0">
        <w:rPr>
          <w:sz w:val="24"/>
          <w:szCs w:val="24"/>
        </w:rPr>
        <w:t>, </w:t>
      </w:r>
      <w:hyperlink r:id="rId21" w:tgtFrame="_blank" w:history="1">
        <w:r w:rsidRPr="00F906D0">
          <w:rPr>
            <w:rStyle w:val="Hiperveza"/>
            <w:color w:val="auto"/>
            <w:sz w:val="24"/>
            <w:szCs w:val="24"/>
          </w:rPr>
          <w:t>34/22</w:t>
        </w:r>
      </w:hyperlink>
      <w:r w:rsidRPr="00F906D0">
        <w:rPr>
          <w:sz w:val="24"/>
          <w:szCs w:val="24"/>
        </w:rPr>
        <w:t>, </w:t>
      </w:r>
      <w:hyperlink r:id="rId22" w:history="1">
        <w:r w:rsidRPr="00F906D0">
          <w:rPr>
            <w:rStyle w:val="Hiperveza"/>
            <w:color w:val="auto"/>
            <w:sz w:val="24"/>
            <w:szCs w:val="24"/>
          </w:rPr>
          <w:t>114/22</w:t>
        </w:r>
      </w:hyperlink>
      <w:r w:rsidRPr="00F906D0">
        <w:rPr>
          <w:sz w:val="24"/>
          <w:szCs w:val="24"/>
        </w:rPr>
        <w:t>, </w:t>
      </w:r>
      <w:hyperlink r:id="rId23" w:tgtFrame="_blank" w:history="1">
        <w:r w:rsidRPr="00F906D0">
          <w:rPr>
            <w:rStyle w:val="Hiperveza"/>
            <w:color w:val="auto"/>
            <w:sz w:val="24"/>
            <w:szCs w:val="24"/>
          </w:rPr>
          <w:t>18/23</w:t>
        </w:r>
      </w:hyperlink>
      <w:r w:rsidRPr="00F906D0">
        <w:rPr>
          <w:sz w:val="24"/>
          <w:szCs w:val="24"/>
        </w:rPr>
        <w:t xml:space="preserve"> </w:t>
      </w:r>
      <w:proofErr w:type="spellStart"/>
      <w:r w:rsidRPr="00F906D0">
        <w:rPr>
          <w:sz w:val="24"/>
          <w:szCs w:val="24"/>
        </w:rPr>
        <w:t>i</w:t>
      </w:r>
      <w:proofErr w:type="spellEnd"/>
      <w:r w:rsidRPr="00F906D0">
        <w:rPr>
          <w:sz w:val="24"/>
          <w:szCs w:val="24"/>
        </w:rPr>
        <w:t xml:space="preserve"> </w:t>
      </w:r>
      <w:hyperlink r:id="rId24" w:tgtFrame="_blank" w:history="1">
        <w:r w:rsidRPr="00F906D0">
          <w:rPr>
            <w:rStyle w:val="Hiperveza"/>
            <w:color w:val="auto"/>
            <w:sz w:val="24"/>
            <w:szCs w:val="24"/>
          </w:rPr>
          <w:t>130/23</w:t>
        </w:r>
      </w:hyperlink>
      <w:r w:rsidRPr="00F906D0">
        <w:rPr>
          <w:sz w:val="24"/>
          <w:szCs w:val="24"/>
        </w:rPr>
        <w:t>)</w:t>
      </w:r>
      <w:r w:rsidRPr="00F906D0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 i Zakona o sudskom registru (NN </w:t>
      </w:r>
      <w:r w:rsidRPr="00F906D0">
        <w:rPr>
          <w:sz w:val="24"/>
          <w:szCs w:val="24"/>
        </w:rPr>
        <w:t>br. 1/95,</w:t>
      </w:r>
      <w:r w:rsidRPr="00F906D0">
        <w:rPr>
          <w:sz w:val="24"/>
          <w:szCs w:val="24"/>
          <w:shd w:val="clear" w:color="auto" w:fill="FCFCFC"/>
        </w:rPr>
        <w:t xml:space="preserve"> 57/96, 1/98, 30/99, 45/99, 54/05, 40/07, 91/10, 90/11, 148/13, 93/14, 110/15, 40/19, 34/22 </w:t>
      </w:r>
      <w:proofErr w:type="spellStart"/>
      <w:r w:rsidRPr="00F906D0">
        <w:rPr>
          <w:sz w:val="24"/>
          <w:szCs w:val="24"/>
          <w:shd w:val="clear" w:color="auto" w:fill="FCFCFC"/>
        </w:rPr>
        <w:t>i</w:t>
      </w:r>
      <w:proofErr w:type="spellEnd"/>
      <w:r w:rsidRPr="00F906D0">
        <w:rPr>
          <w:sz w:val="24"/>
          <w:szCs w:val="24"/>
          <w:shd w:val="clear" w:color="auto" w:fill="FCFCFC"/>
        </w:rPr>
        <w:t xml:space="preserve"> 123/23)</w:t>
      </w:r>
      <w:r w:rsidRPr="00F906D0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. Provođenje povećanja temeljnog kapitala nužna je pretpostavka za sve aktivnosti </w:t>
      </w:r>
      <w:r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usmjerene  provođenju statusnih promjena društva DOM POREČ d.o.o..</w:t>
      </w:r>
    </w:p>
    <w:p w14:paraId="7DC7068C" w14:textId="77777777" w:rsidR="00FB3671" w:rsidRDefault="00FB3671" w:rsidP="00FB3671">
      <w:pPr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Ustanova Dom za starije i nemoćne osobe Poreč djelatnost obavlja u nekretnini koja je u vlasništvu društva DOM POREČ d.o.o.</w:t>
      </w:r>
      <w:r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, te je navedena zakupnina j</w:t>
      </w:r>
      <w:r w:rsidRPr="00EF7751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edini prihod koji </w:t>
      </w:r>
      <w:r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ostvaruje </w:t>
      </w:r>
      <w:r w:rsidRPr="00EF7751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društvo DOM POREČ d.o.o.</w:t>
      </w:r>
      <w:r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. Kako evidentirani troškovi amortizacije nekretnine premašuju prihode od zakupa, DOM POREČ d.o.o. ostvaruje gubitak, koji je na dan 31.12.2023. iznosio </w:t>
      </w:r>
    </w:p>
    <w:p w14:paraId="57532910" w14:textId="77777777" w:rsidR="00FB3671" w:rsidRDefault="00FB3671" w:rsidP="00FB3671">
      <w:pPr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  <w:r w:rsidRPr="00BD0742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3.891.210,66 eura.</w:t>
      </w:r>
      <w:r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 </w:t>
      </w:r>
    </w:p>
    <w:p w14:paraId="2C5B1C90" w14:textId="77777777" w:rsidR="00FB3671" w:rsidRDefault="00FB3671" w:rsidP="00FB3671">
      <w:pPr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  <w:r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Slijedom utvrđenih činjenica proizlazi </w:t>
      </w:r>
      <w:proofErr w:type="spellStart"/>
      <w:r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nesvrsishodnost</w:t>
      </w:r>
      <w:proofErr w:type="spellEnd"/>
      <w:r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 postojanja društva DOM POREČ </w:t>
      </w:r>
      <w:proofErr w:type="spellStart"/>
      <w:r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d.o.o</w:t>
      </w:r>
      <w:proofErr w:type="spellEnd"/>
      <w:r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, obzirom da isto ne obavlja djelatnost i nema zaposlenih a jedini prihod je zakupnina koju je društvo steklo kroz unos u temeljni kapital od strane osnivača i koji nije dostatan za pozitivno poslovanje. Imovina društva DOM POREČ d.o.o. u funkciji je Ustanove te ne služi društvu za obavljanje djelatnosti, slijedom čega i po tom osnovu nije opravdano postojanje navedenog trgovačkog društva.</w:t>
      </w:r>
    </w:p>
    <w:p w14:paraId="3E637A4F" w14:textId="77777777" w:rsidR="00FB3671" w:rsidRDefault="00FB3671" w:rsidP="00FB3671">
      <w:pPr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lastRenderedPageBreak/>
        <w:t xml:space="preserve">Iz razgovora vođenih s Istarskim domovima zdravlja </w:t>
      </w:r>
      <w:bookmarkStart w:id="1" w:name="_Hlk176510082"/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– </w:t>
      </w:r>
      <w:proofErr w:type="spellStart"/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Casa</w:t>
      </w:r>
      <w:proofErr w:type="spellEnd"/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 della </w:t>
      </w:r>
      <w:proofErr w:type="spellStart"/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salute</w:t>
      </w:r>
      <w:proofErr w:type="spellEnd"/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 </w:t>
      </w:r>
      <w:proofErr w:type="spellStart"/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dell</w:t>
      </w:r>
      <w:proofErr w:type="spellEnd"/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` </w:t>
      </w:r>
      <w:proofErr w:type="spellStart"/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Istria</w:t>
      </w:r>
      <w:proofErr w:type="spellEnd"/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 </w:t>
      </w:r>
      <w:bookmarkEnd w:id="1"/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proizašlo je kako navedena ustanova nema interes za sudjelovanje u vlasničkoj strukturi društva DOM POREČ </w:t>
      </w:r>
      <w:r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d.o.o. </w:t>
      </w:r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niti u budućim investicijama te se kao najjednostavnije rješenja za postizanje ciljeva Grada Poreča-Parenzo ukazalo stjecanje poslovnog udjela od Istarskih domova zdravlja, s čime su isti </w:t>
      </w:r>
      <w:r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bili </w:t>
      </w:r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suglasni.</w:t>
      </w:r>
      <w:r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 </w:t>
      </w:r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Slijedom navedenog, dana 25.05.2023. godine skupština Istarske županije donijela je Odluku o davanju suglasnosti na Odluku Istarskih domova zdravlja o prijenosu poslovnog udjela u trgovačkom društvu Dom Poreč d.o.o. na Grad Poreč</w:t>
      </w:r>
      <w:r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-Parenzo</w:t>
      </w:r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 bez naknade, </w:t>
      </w:r>
      <w:r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KLASA</w:t>
      </w:r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: 510-03/223-01/01, </w:t>
      </w:r>
      <w:r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URBROJ</w:t>
      </w:r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: 2163-01/3-23-03. </w:t>
      </w:r>
    </w:p>
    <w:p w14:paraId="0957F2CF" w14:textId="77777777" w:rsidR="00FB3671" w:rsidRDefault="00FB3671" w:rsidP="00FB3671">
      <w:pPr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  <w:r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Pokretanjem radnji vezanih uz provedbu statusnih promjena trgovačkog društva, realizirati će se slijedeći ciljevi Grada Poreča-Parenzo:</w:t>
      </w:r>
    </w:p>
    <w:p w14:paraId="0E0A94F7" w14:textId="77777777" w:rsidR="00FB3671" w:rsidRPr="007156C2" w:rsidRDefault="00FB3671" w:rsidP="00FB3671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b/>
          <w:bCs/>
          <w:sz w:val="24"/>
          <w:szCs w:val="24"/>
          <w:lang w:val="hr-HR"/>
        </w:rPr>
      </w:pPr>
      <w:r w:rsidRPr="007156C2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da se vlasništvo nekretnine u kojoj se obavlja djelatnost Ustanove  prenese na Grad Poreč-Parenzo, koji će biti nositelj novih investicijskih aktivnosti</w:t>
      </w:r>
      <w:r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,</w:t>
      </w:r>
    </w:p>
    <w:p w14:paraId="47019030" w14:textId="77777777" w:rsidR="00FB3671" w:rsidRPr="007156C2" w:rsidRDefault="00FB3671" w:rsidP="00FB3671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b/>
          <w:bCs/>
          <w:sz w:val="24"/>
          <w:szCs w:val="24"/>
          <w:lang w:val="hr-HR"/>
        </w:rPr>
      </w:pPr>
      <w:r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da se osnivačka prava nad Ustanovom u cijelosti prenesu na Grad Poreč-Parenzo, te da ista postane proračunski korisnik Grada koji posluje putem lokalne riznice proračuna</w:t>
      </w:r>
    </w:p>
    <w:p w14:paraId="22054DB7" w14:textId="77777777" w:rsidR="00FB3671" w:rsidRPr="00E77DC4" w:rsidRDefault="00FB3671" w:rsidP="00FB3671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b/>
          <w:bCs/>
          <w:sz w:val="24"/>
          <w:szCs w:val="24"/>
          <w:lang w:val="hr-HR"/>
        </w:rPr>
      </w:pPr>
      <w:r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prestanak postojanja društva DOM Poreč d.o.o.</w:t>
      </w:r>
    </w:p>
    <w:p w14:paraId="40833BE0" w14:textId="77777777" w:rsidR="00FB3671" w:rsidRPr="00F906D0" w:rsidRDefault="00FB3671" w:rsidP="00FB367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  <w:r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Za realizaciju prethodno navedenih ciljeva potrebno je provesti nekoliko postupaka od kojih je donošenje odluka: o stjecanju poslovnih udjela,  o usklađenju temeljnog kapitala, o povećanju temeljnog kapitala i o izmjeni Društvenog ugovora trgovačkog društva DOM POREČ d.o.o. predstavlja prvi korak.</w:t>
      </w:r>
    </w:p>
    <w:p w14:paraId="059CC46A" w14:textId="77777777" w:rsidR="00FB3671" w:rsidRPr="00CA2C43" w:rsidRDefault="00FB3671" w:rsidP="00FB3671">
      <w:pPr>
        <w:rPr>
          <w:sz w:val="24"/>
          <w:szCs w:val="24"/>
          <w:lang w:val="hr-HR"/>
        </w:rPr>
      </w:pPr>
    </w:p>
    <w:p w14:paraId="6A27C749" w14:textId="77777777" w:rsidR="00FB3671" w:rsidRPr="00CA2C43" w:rsidRDefault="00FB3671" w:rsidP="00FB3671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Osnovna p</w:t>
      </w:r>
      <w:r w:rsidRPr="00CA2C43">
        <w:rPr>
          <w:b/>
          <w:sz w:val="24"/>
          <w:szCs w:val="24"/>
          <w:lang w:val="hr-HR"/>
        </w:rPr>
        <w:t>itanja koja se uređuju Odlukom:</w:t>
      </w:r>
    </w:p>
    <w:p w14:paraId="036C0A6E" w14:textId="458C5C2C" w:rsidR="00FB3671" w:rsidRPr="008E3CFF" w:rsidRDefault="00FB3671" w:rsidP="00FB3671">
      <w:pPr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  <w:r w:rsidRPr="008E3CFF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S obzirom na promjenu službene valute u primjeni u Republici Hrvatskoj, sukladno članku 117. Zakona o izmjenama i dopunama Zakona o trgovačkim društvima (Narodne novine 130/2023) potrebno je prije povećanj</w:t>
      </w:r>
      <w:r w:rsidR="00FD05A4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a</w:t>
      </w:r>
      <w:r w:rsidRPr="008E3CFF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 temeljnog kapitala i odgovarajuće izmjene Društvenog ugovora provesti usklađenje temeljenog kapitala u EUR valutu, uz poštivanje članka 389. i 390. Zakona o trgovačkim društvima (Narodne novine br. 111/1993, 34/1999, 121/1999, 52/2000, 118/2003, 107/2007, 146/2008, 137/2009, 111/2012, 125/2011, 68/2013, 110/2015, 40/2019, 34/2022, 114/2022, 18/2023, 130/2023).</w:t>
      </w:r>
    </w:p>
    <w:p w14:paraId="13151EE1" w14:textId="263CBEAF" w:rsidR="00FB3671" w:rsidRDefault="00FB3671" w:rsidP="00FB3671">
      <w:pPr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</w:p>
    <w:p w14:paraId="2C4E4BAC" w14:textId="77777777" w:rsidR="00FB3671" w:rsidRPr="00CA2C43" w:rsidRDefault="00FB3671" w:rsidP="00FB3671">
      <w:pPr>
        <w:rPr>
          <w:sz w:val="24"/>
          <w:szCs w:val="24"/>
          <w:lang w:val="hr-HR"/>
        </w:rPr>
      </w:pPr>
    </w:p>
    <w:p w14:paraId="52B9C639" w14:textId="77777777" w:rsidR="00FB3671" w:rsidRPr="00CA2C43" w:rsidRDefault="00FB3671" w:rsidP="00FB3671">
      <w:pPr>
        <w:rPr>
          <w:b/>
          <w:sz w:val="24"/>
          <w:szCs w:val="24"/>
          <w:lang w:val="hr-HR"/>
        </w:rPr>
      </w:pPr>
      <w:r w:rsidRPr="00CA2C43">
        <w:rPr>
          <w:b/>
          <w:sz w:val="24"/>
          <w:szCs w:val="24"/>
          <w:lang w:val="hr-HR"/>
        </w:rPr>
        <w:t>Cilj donošenja Odluke:</w:t>
      </w:r>
    </w:p>
    <w:p w14:paraId="00BDC742" w14:textId="34B8D163" w:rsidR="00FB3671" w:rsidRDefault="00FB3671" w:rsidP="00FB3671">
      <w:pPr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  <w:r w:rsidRPr="00FC7831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Ovom se Odlukom omogućuje provedba </w:t>
      </w:r>
      <w:r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svih odluka koje se odnose na trgovačko društvo DOM POREČ d.o.o. u Sudskom registru Trgovačkog suda u Pazinu.</w:t>
      </w:r>
    </w:p>
    <w:p w14:paraId="3BF65026" w14:textId="76E66BAD" w:rsidR="00FB3671" w:rsidRPr="00FC7831" w:rsidRDefault="00FB3671" w:rsidP="00FB3671">
      <w:pPr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</w:p>
    <w:p w14:paraId="736D9AAB" w14:textId="77777777" w:rsidR="00FB3671" w:rsidRPr="00CA2C43" w:rsidRDefault="00FB3671" w:rsidP="00FB3671">
      <w:pPr>
        <w:rPr>
          <w:sz w:val="24"/>
          <w:szCs w:val="24"/>
          <w:lang w:val="hr-HR"/>
        </w:rPr>
      </w:pPr>
    </w:p>
    <w:p w14:paraId="4ED37C4B" w14:textId="77777777" w:rsidR="00FB3671" w:rsidRPr="00CA2C43" w:rsidRDefault="00FB3671" w:rsidP="00FB3671">
      <w:pPr>
        <w:rPr>
          <w:b/>
          <w:sz w:val="24"/>
          <w:szCs w:val="24"/>
          <w:lang w:val="hr-HR"/>
        </w:rPr>
      </w:pPr>
      <w:r w:rsidRPr="00CA2C43">
        <w:rPr>
          <w:b/>
          <w:sz w:val="24"/>
          <w:szCs w:val="24"/>
          <w:lang w:val="hr-HR"/>
        </w:rPr>
        <w:t>Sredstva za ostvarenje Odluke:</w:t>
      </w:r>
    </w:p>
    <w:p w14:paraId="225431EC" w14:textId="77777777" w:rsidR="00FB3671" w:rsidRPr="00FC7831" w:rsidRDefault="00FB3671" w:rsidP="00FB3671">
      <w:pPr>
        <w:autoSpaceDE w:val="0"/>
        <w:autoSpaceDN w:val="0"/>
        <w:adjustRightInd w:val="0"/>
        <w:rPr>
          <w:sz w:val="24"/>
          <w:szCs w:val="24"/>
          <w:lang w:val="hr-HR"/>
        </w:rPr>
      </w:pPr>
      <w:r w:rsidRPr="00FC7831">
        <w:rPr>
          <w:sz w:val="24"/>
          <w:szCs w:val="24"/>
          <w:lang w:val="hr-HR"/>
        </w:rPr>
        <w:t>Sredstva za provedbu ove Odluke osigurana su u Proračunu Grada Poreča-Parenzo za 2024. godinu</w:t>
      </w:r>
      <w:r>
        <w:rPr>
          <w:sz w:val="24"/>
          <w:szCs w:val="24"/>
          <w:lang w:val="hr-HR"/>
        </w:rPr>
        <w:t>.</w:t>
      </w:r>
    </w:p>
    <w:p w14:paraId="130BFB10" w14:textId="77777777" w:rsidR="00FB3671" w:rsidRDefault="00FB3671" w:rsidP="00FB3671">
      <w:pPr>
        <w:autoSpaceDE w:val="0"/>
        <w:autoSpaceDN w:val="0"/>
        <w:adjustRightInd w:val="0"/>
        <w:rPr>
          <w:sz w:val="24"/>
          <w:szCs w:val="24"/>
          <w:lang w:val="hr-HR"/>
        </w:rPr>
      </w:pPr>
    </w:p>
    <w:p w14:paraId="367303D3" w14:textId="75668EE4" w:rsidR="00FB3671" w:rsidRDefault="00FB3671"/>
    <w:p w14:paraId="7A84A77A" w14:textId="4E19EDD4" w:rsidR="00FB3671" w:rsidRDefault="00FB3671"/>
    <w:p w14:paraId="53C5B741" w14:textId="63141F43" w:rsidR="00FB3671" w:rsidRDefault="00FB3671"/>
    <w:p w14:paraId="160047B3" w14:textId="23CB6942" w:rsidR="00FB3671" w:rsidRDefault="00FB3671"/>
    <w:p w14:paraId="4D91CA8A" w14:textId="6D13E77F" w:rsidR="00FB3671" w:rsidRDefault="00FB3671"/>
    <w:p w14:paraId="2FA4EB66" w14:textId="64E7700F" w:rsidR="00FB3671" w:rsidRDefault="00FB3671"/>
    <w:p w14:paraId="1DC2DEA5" w14:textId="57E428B2" w:rsidR="00FB3671" w:rsidRDefault="00FB3671"/>
    <w:p w14:paraId="66FA1CD0" w14:textId="243043D6" w:rsidR="00FB3671" w:rsidRDefault="00FB3671"/>
    <w:sectPr w:rsidR="00FB3671" w:rsidSect="00C1033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00B3A"/>
    <w:multiLevelType w:val="hybridMultilevel"/>
    <w:tmpl w:val="44CC96E2"/>
    <w:lvl w:ilvl="0" w:tplc="EA5694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33656"/>
    <w:multiLevelType w:val="hybridMultilevel"/>
    <w:tmpl w:val="9B2C4EB0"/>
    <w:lvl w:ilvl="0" w:tplc="F98AD8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17F72"/>
    <w:multiLevelType w:val="hybridMultilevel"/>
    <w:tmpl w:val="180A78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55C81"/>
    <w:multiLevelType w:val="hybridMultilevel"/>
    <w:tmpl w:val="D87494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61BA7"/>
    <w:multiLevelType w:val="hybridMultilevel"/>
    <w:tmpl w:val="7BD87786"/>
    <w:lvl w:ilvl="0" w:tplc="ADA0745C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BB"/>
    <w:rsid w:val="0009204A"/>
    <w:rsid w:val="00141252"/>
    <w:rsid w:val="002416E6"/>
    <w:rsid w:val="002774A7"/>
    <w:rsid w:val="00346A6F"/>
    <w:rsid w:val="00456A47"/>
    <w:rsid w:val="00467B88"/>
    <w:rsid w:val="004869B7"/>
    <w:rsid w:val="00665574"/>
    <w:rsid w:val="00682ADA"/>
    <w:rsid w:val="006A1D92"/>
    <w:rsid w:val="006A2638"/>
    <w:rsid w:val="007156C2"/>
    <w:rsid w:val="00757F0B"/>
    <w:rsid w:val="00765A8F"/>
    <w:rsid w:val="0079167E"/>
    <w:rsid w:val="007A66A8"/>
    <w:rsid w:val="008144AB"/>
    <w:rsid w:val="008B55DF"/>
    <w:rsid w:val="008D05FE"/>
    <w:rsid w:val="008E3CFF"/>
    <w:rsid w:val="00972DBB"/>
    <w:rsid w:val="00976E85"/>
    <w:rsid w:val="00A11825"/>
    <w:rsid w:val="00A72C93"/>
    <w:rsid w:val="00AA2B6C"/>
    <w:rsid w:val="00AC188E"/>
    <w:rsid w:val="00B062FC"/>
    <w:rsid w:val="00BD417D"/>
    <w:rsid w:val="00C07552"/>
    <w:rsid w:val="00C1033D"/>
    <w:rsid w:val="00C4682F"/>
    <w:rsid w:val="00C62B18"/>
    <w:rsid w:val="00C64470"/>
    <w:rsid w:val="00C86649"/>
    <w:rsid w:val="00D0171E"/>
    <w:rsid w:val="00D44CDD"/>
    <w:rsid w:val="00D671D7"/>
    <w:rsid w:val="00D94FDB"/>
    <w:rsid w:val="00DF4312"/>
    <w:rsid w:val="00E07498"/>
    <w:rsid w:val="00E253CC"/>
    <w:rsid w:val="00E77DC4"/>
    <w:rsid w:val="00E97074"/>
    <w:rsid w:val="00EF2262"/>
    <w:rsid w:val="00EF7751"/>
    <w:rsid w:val="00F56C1E"/>
    <w:rsid w:val="00F57151"/>
    <w:rsid w:val="00FB3671"/>
    <w:rsid w:val="00FB529A"/>
    <w:rsid w:val="00FC7831"/>
    <w:rsid w:val="00FD05A4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23C73"/>
  <w15:chartTrackingRefBased/>
  <w15:docId w15:val="{98A6685E-C806-452F-84A2-AA9BFC3A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2638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E253CC"/>
    <w:rPr>
      <w:color w:val="0000FF"/>
      <w:u w:val="single"/>
    </w:rPr>
  </w:style>
  <w:style w:type="table" w:styleId="Reetkatablice">
    <w:name w:val="Table Grid"/>
    <w:basedOn w:val="Obinatablica"/>
    <w:uiPriority w:val="39"/>
    <w:rsid w:val="00FB3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39355" TargetMode="External"/><Relationship Id="rId13" Type="http://schemas.openxmlformats.org/officeDocument/2006/relationships/hyperlink" Target="https://www.zakon.hr/cms.htm?id=39365" TargetMode="External"/><Relationship Id="rId18" Type="http://schemas.openxmlformats.org/officeDocument/2006/relationships/hyperlink" Target="https://www.zakon.hr/cms.htm?id=39373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51850" TargetMode="External"/><Relationship Id="rId7" Type="http://schemas.openxmlformats.org/officeDocument/2006/relationships/hyperlink" Target="https://narodne-novine.nn.hr/clanci/sluzbeni/1993_12_111_2133.html" TargetMode="External"/><Relationship Id="rId12" Type="http://schemas.openxmlformats.org/officeDocument/2006/relationships/hyperlink" Target="https://www.zakon.hr/cms.htm?id=39363" TargetMode="External"/><Relationship Id="rId17" Type="http://schemas.openxmlformats.org/officeDocument/2006/relationships/hyperlink" Target="https://www.zakon.hr/cms.htm?id=3937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arodne-novine.nn.hr/clanci/sluzbeni/2011_12_152_3144.html" TargetMode="External"/><Relationship Id="rId20" Type="http://schemas.openxmlformats.org/officeDocument/2006/relationships/hyperlink" Target="https://www.zakon.hr/cms.htm?id=3937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https://www.zakon.hr/cms.htm?id=39361" TargetMode="External"/><Relationship Id="rId24" Type="http://schemas.openxmlformats.org/officeDocument/2006/relationships/hyperlink" Target="https://www.zakon.hr/cms.htm?id=58588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www.zakon.hr/cms.htm?id=39369" TargetMode="External"/><Relationship Id="rId23" Type="http://schemas.openxmlformats.org/officeDocument/2006/relationships/hyperlink" Target="https://www.zakon.hr/cms.htm?id=55993" TargetMode="External"/><Relationship Id="rId10" Type="http://schemas.openxmlformats.org/officeDocument/2006/relationships/hyperlink" Target="https://www.zakon.hr/cms.htm?id=39359" TargetMode="External"/><Relationship Id="rId19" Type="http://schemas.openxmlformats.org/officeDocument/2006/relationships/hyperlink" Target="https://www.zakon.hr/cms.htm?id=393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39357" TargetMode="External"/><Relationship Id="rId14" Type="http://schemas.openxmlformats.org/officeDocument/2006/relationships/hyperlink" Target="https://www.zakon.hr/cms.htm?id=39367" TargetMode="External"/><Relationship Id="rId22" Type="http://schemas.openxmlformats.org/officeDocument/2006/relationships/hyperlink" Target="https://www.zakon.hr/cms.htm?id=53938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1793</Words>
  <Characters>12234</Characters>
  <Application>Microsoft Office Word</Application>
  <DocSecurity>0</DocSecurity>
  <Lines>101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Matošević</dc:creator>
  <cp:keywords/>
  <dc:description/>
  <cp:lastModifiedBy>Maja Šimonović Cvitko</cp:lastModifiedBy>
  <cp:revision>2</cp:revision>
  <cp:lastPrinted>2024-10-02T12:49:00Z</cp:lastPrinted>
  <dcterms:created xsi:type="dcterms:W3CDTF">2024-10-08T06:32:00Z</dcterms:created>
  <dcterms:modified xsi:type="dcterms:W3CDTF">2024-10-08T06:32:00Z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7c82cdb9cebdb7c86f2f199e5fee6c7c2ecc386ccdac74fd012364d2468887e7</vt:lpwstr>
  </property>
</Properties>
</file>